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欢城煤矿螺杆式空压机</w:t>
      </w:r>
    </w:p>
    <w:p>
      <w:pPr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技术规格书</w:t>
      </w:r>
    </w:p>
    <w:p>
      <w:pPr>
        <w:jc w:val="both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2023年10月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设备名称及数量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螺杆式空气压缩机   壹台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技术参数要求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主要配置要求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螺杆主机：国内知名品牌</w:t>
      </w: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永磁变频电动机：新大力TYCP280M-8</w:t>
      </w:r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变频器：众辰Z2400T-132GY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2.基本性能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（1）公称容积流量：不小于23.7m³/min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（2）额定排气压力：不小于0.8MPa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（3）供气口排气温度：≤环境温度﹢15℃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（4）气量调节方式：变频控制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（5）噪音：85±3 dB(A)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（6）振动：≤7.1mm/s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（7）供气口气体含油量：＜3 ppm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（8）润滑油油量：110 L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（9）润滑油牌号：机体标配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（10）能效等级：一级能效（机组比功率≤6.4[kW/(m³/min)]）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3.系统运行规范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（1）冷却方式：风冷式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（2）传动方式：直联传动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（3）运转方式：变频运转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（4）控制要求：远程控制无人值守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4.电气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（1）电动机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额定功率：110kw左右     电压：380V±10%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频率：100 Hz             极数：8P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防护等级：IP55         绝缘等级：F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转速：1500 Rpm         启动方式：变频启动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风机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额定功率：1.5kw*2      电压：380V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频率：50Hz             极数：6P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防护等级：IP55         绝缘等级：F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转速：950 Rpm          启动方式：直接启动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风量：17000m³/h        出口管径：DN80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运行条件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环境温度：2℃～45℃（机房温度）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相对湿度：≤60%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粉尘污染：不限制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海拔高度：海拔1,000 m以下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四、产品执行标准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排气量测试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：容积式压缩机流量测量方法（GB/T15487-2015）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振动测试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：螺杆式空压机振动测定方法（GB/T7777-2003）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噪音测试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：容积式压缩机噪声的测定（GB/T4980-2003）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能效等级测试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：容积式空气压缩机能效限定值及能效等级（GB19153-2019）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5、质量认证：ISO9001质量管理体系认证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6、其他标准：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GB/T15487-1995    《容积式压缩机流量测量方法》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GB/T13384-2008    《机电产品包装通用技术条件》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JB/T6430-2002   《一般用喷油螺杆式空气压缩机》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GB/T13277.1-2008《压缩空气 第一部分 污染物净化等级》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GB150-98  《钢制压力容器》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GB10892-2005  《固定的空气压缩机安全规定和操作规程》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JB/T7663.1-2005  《容积式空压机包装技术条件》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JB/T6431-92   《容积式空压机用灰铸铁伯技术条件》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ISO-2151     《运转器噪音测试标准》(国际标准)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GB699—1999    《优质碳素结构钢技术条件》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GB711—2008《优质碳素钢热轧厚钢板技术条件》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GB1225—76   《焊条检验、包装和标志》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JB/T74-84  《管法兰》技术要求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五、供货要求及随机文件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、供货方必须在中标后一个月内将设备进矿并进行安装。交货前要通知矿方验收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交货时供货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方应提供货物运至合同规定的最终目的地所需要的包装，包装应适合长途运输，并有良好的防潮、防震、防锈和防野蛮装卸的保护措施，以确保该货物安全抵达安装现场不造成损坏。因产品包装造成的产品破损，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矿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方有权拒绝接收。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供货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方承担由于其包装或防护措施不妥而引起设备锈蚀、损坏和丢失等一切损失的责任和费用。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安装操作维护说明书、技术文件、图纸、备件手册，必须有供货厂家技术主管的签字及技术主管部门的红章使用说明等，设备纸质版的不少于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套，电子版的1套，备件手册必须将每一部件细化到所有零件，所有零部件有统一的采购号或件号等唯一标识号，以便于矿方维护和采购备件。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安装调试前提供完备详细的图纸资料，主要包括：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1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⑴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整套的电气原理图、接线图、总装图。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2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⑵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设备安装、使用说明书。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3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⑶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供货厂商补充的附加文件，包括图样、说明书等。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= 4 \* GB2 </w:instrTex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⑷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所有产品必须提供产品合格证、煤矿矿用产品安全标志、出厂检验报告。纳入国家工业产品生产许可目录的还要提供目录清单，纳入及3C强制认证的必须提供3C认证证书。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⑸各项资料与实物之间必须一致。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设备安装调试过程中，由于制造质量造成的不符合规定的偏差，造成质量问题，由供货方负责处理，费用由供货方负责承担。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现场服务在服务期间,要指导监督用户的有关人员严格地按照操作、维修和保养制度来进行正常的使用和保养, 要向用户的有关人员详细讲解故障的产生原因和排除方法。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、随机附件、易损件、备品备件、专用工具及供应方式等必须在说明书上标注清楚、完整，并有上述材料的价格详单。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六、售后服务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安装调试、验收：供货方免费指导安装、调试（现场来技术人员必须按矿方要求时间施工）。设备验收以双方合同及协议中约定的验收范围、内容、标准等各方面要求为验收标准，验收通过后矿方签字确认。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质保期限：质保期为安装调试通过合格验收，出具验收报告之日起自终验收合格之日起整机质保一年，主机质保五年。（特殊情况应另外说明）。设备质量保证期内，不收取部件更换费（除三滤、油品、排水器）、修理费、设备往返运费。凡由于设备本身原因（超出设备本身使用寿命除外）而出现的自然损坏，乙方应负责免费更换或维修，保证设备的正常运行,并承担更换或维修中的一切费用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质保期满后，乙方仍应该提供优惠技术服务。对甲方所购设备提供终身服务。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提供24小时热线服务，完善、快速的售后响应机制，在设备发生故障时,厂家确保在接到通知24小时内赶到现场解决问题提供的技术支持服务包括电话支持、远程网络、现场技术支持服务。电话支持、远程网络服务响应时间为4小时。如果现场出现紧急事故时，公司确保在接到通知以最快方式抵达现场解决问题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厂家免费向矿方提供操作和维修培训，保证操作人员和维护人员熟练掌握设备性能,并能够独立操作设备。必须和矿方提供PLC软件和授权，程序向矿方公开。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供货方按合同价提供3%的配件（双方商议后定）。配件详单经双方协商确认后，纳入设备招标中，随设备一起供货。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软件质量保证：供货方五年内负责应用软件的免费升级。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在质保期过后，对产品进行保修时，只收取成本费。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本技术要求未尽事宜供、需双方共同协商解决。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34BB3"/>
    <w:multiLevelType w:val="singleLevel"/>
    <w:tmpl w:val="DC334BB3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</w:rPr>
    </w:lvl>
  </w:abstractNum>
  <w:abstractNum w:abstractNumId="1">
    <w:nsid w:val="0C5CF779"/>
    <w:multiLevelType w:val="singleLevel"/>
    <w:tmpl w:val="0C5CF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96B075"/>
    <w:multiLevelType w:val="singleLevel"/>
    <w:tmpl w:val="6196B07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BC8F7C7"/>
    <w:multiLevelType w:val="singleLevel"/>
    <w:tmpl w:val="7BC8F7C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GZhZjZkNjc1MDZjYzUyNGUyN2Y2NDhjOWMwNTYifQ=="/>
  </w:docVars>
  <w:rsids>
    <w:rsidRoot w:val="299D643F"/>
    <w:rsid w:val="299D643F"/>
    <w:rsid w:val="2A7A7F15"/>
    <w:rsid w:val="499F21F0"/>
    <w:rsid w:val="5CD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2023-10-18T04:55:00Z</dcterms:created>
  <dc:creator>久在存暖,</dc:creator>
  <cp:lastModifiedBy>陌若安生</cp:lastModifiedBy>
  <cp:lastPrinted>2023-10-19T03:30:08Z</cp:lastPrinted>
  <dcterms:modified xsi:type="dcterms:W3CDTF">2023-10-19T03:30:22Z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39B5DF803AEB490E8962BB459311351B_11</vt:lpwstr>
  </property>
</Properties>
</file>