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 w:eastAsiaTheme="minorEastAsia" w:cstheme="minorEastAsia"/>
          <w:b/>
          <w:color w:val="000000"/>
          <w:szCs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4"/>
          <w:lang w:eastAsia="zh-CN"/>
        </w:rPr>
        <w:t xml:space="preserve">                        催化燃烧设备技术要求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4"/>
        </w:rPr>
        <w:t xml:space="preserve"> 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bCs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>设备概要：</w:t>
      </w:r>
    </w:p>
    <w:p>
      <w:pPr>
        <w:numPr>
          <w:ilvl w:val="0"/>
          <w:numId w:val="2"/>
        </w:numPr>
        <w:spacing w:line="400" w:lineRule="exact"/>
        <w:rPr>
          <w:rFonts w:asciiTheme="minorEastAsia" w:hAnsiTheme="minorEastAsia" w:eastAsiaTheme="minorEastAsia" w:cstheme="minorEastAsia"/>
          <w:bCs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>设备功能描述：</w:t>
      </w:r>
    </w:p>
    <w:p>
      <w:pPr>
        <w:widowControl/>
        <w:spacing w:line="400" w:lineRule="exact"/>
        <w:rPr>
          <w:rFonts w:asciiTheme="minorEastAsia" w:hAnsiTheme="minorEastAsia" w:eastAsiaTheme="minorEastAsia" w:cstheme="minorEastAsia"/>
          <w:bCs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eastAsia="zh-CN" w:bidi="ar"/>
        </w:rPr>
        <w:t>废气收集后并处理,最终引至烟囱，达标排放整个过程为自动进行。 处理后气体排出应符合《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val="en-US" w:eastAsia="zh-CN" w:bidi="ar"/>
        </w:rPr>
        <w:t>山东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eastAsia="zh-CN" w:bidi="ar"/>
        </w:rPr>
        <w:t>省工业企业挥发性有机物排放建议值》 (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val="en-US" w:eastAsia="zh-CN" w:bidi="ar"/>
        </w:rPr>
        <w:t>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eastAsia="zh-CN" w:bidi="ar"/>
        </w:rPr>
        <w:t>环攻坚办[2017]162 号)、 《 电池工业污染物排放标准》（ GB30484-2013） 、 文件及业主提出的非甲烷总烃排放浓度低于50mg/m³的要求。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4"/>
          <w:lang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>设备工艺流程图：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>3.设备主要技术参数：</w:t>
      </w:r>
    </w:p>
    <w:tbl>
      <w:tblPr>
        <w:tblStyle w:val="6"/>
        <w:tblW w:w="94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"/>
        <w:gridCol w:w="1920"/>
        <w:gridCol w:w="2"/>
        <w:gridCol w:w="2085"/>
        <w:gridCol w:w="13"/>
        <w:gridCol w:w="1970"/>
        <w:gridCol w:w="100"/>
        <w:gridCol w:w="630"/>
        <w:gridCol w:w="57"/>
        <w:gridCol w:w="560"/>
        <w:gridCol w:w="13"/>
        <w:gridCol w:w="13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序号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设备/材料名称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规格参数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材料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数量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单位 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初中效过滤器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风量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0000m³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/h;1800*1350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*1320mm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主体材质 Q235， 材质采用 2.0 厚 A3 钢静电喷涂。 侧门抽屉式；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前端初效过滤棉；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中端 G4 过滤；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2.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活性炭吸附床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*1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mm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主体材质 Q235， 材质采用 2.0 厚钢板，内板采用 1.5 镀锌板， 含有 5CM 硅酸铝保温。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吸附床可整体移出，方便更换活性炭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3.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CO 催化燃烧炉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00*1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00*2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00mm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外壳主体材质Q2352.0 厚， 内板 8 个厚填充 10CM 硅酸铝做保温处理， 板式换热器。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0KW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4.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主风离心风机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000Nm³/h；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kw；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KW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5.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脱附离心风机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00Nm³/h；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防爆型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6.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吸附系统切换风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阀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00mm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气动执行器+304不锈钢阀门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2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7.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脱附系统切换风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阀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气动执行器+304不锈钢阀门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4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8.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脱附系统电动调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节风阀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电动调节门执行器+304不锈钢阀门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2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9.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脱附管道（含保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温）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采用 2.0厚钢板喷漆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10.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吸附管道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0mm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Q235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11.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消防设施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每个吸附箱配置一套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12.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泄爆片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00mm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燃烧室含泄爆片装置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13.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进风补冷过滤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14.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阻火器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00mm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2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56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15. 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贵金属催化剂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200 含铂 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0.13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m³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16.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蜂窝活性炭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L100× W100×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H100mm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防水型蜂窝活性炭；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碘值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00（新国标）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5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m³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18.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设备组装及调试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（含电控）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乙方厂内 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1</w:t>
            </w:r>
          </w:p>
        </w:tc>
        <w:tc>
          <w:tcPr>
            <w:tcW w:w="63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套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Theme="minorEastAsia" w:hAnsiTheme="minorEastAsia" w:eastAsiaTheme="minorEastAsia" w:cstheme="minorEastAsia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19.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电气系统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630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Theme="minorEastAsia" w:hAnsiTheme="minorEastAsia" w:eastAsiaTheme="minorEastAsia" w:cstheme="minorEastAsia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>20.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安装辅材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630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21.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风筒、 风阀， 变径三通， 法兰， 弯头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马鞍， 烟囱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… 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…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 xml:space="preserve">1 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套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</w:pPr>
          </w:p>
        </w:tc>
      </w:tr>
    </w:tbl>
    <w:p>
      <w:pPr>
        <w:widowControl/>
        <w:spacing w:line="400" w:lineRule="exact"/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val="en-US" w:eastAsia="zh-CN"/>
        </w:rPr>
        <w:t>设备可实现本地/远程控制。</w:t>
      </w:r>
    </w:p>
    <w:p>
      <w:pPr>
        <w:widowControl/>
        <w:spacing w:line="400" w:lineRule="exact"/>
        <w:rPr>
          <w:rFonts w:hint="default" w:asciiTheme="minorEastAsia" w:hAnsiTheme="minorEastAsia" w:eastAsiaTheme="minorEastAsia" w:cstheme="minorEastAsia"/>
          <w:bCs/>
          <w:color w:val="000000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val="en-US" w:eastAsia="zh-CN"/>
        </w:rPr>
        <w:t xml:space="preserve">设备管道连接到车间设备上共6台  不漏气  材质防腐蚀 </w:t>
      </w:r>
    </w:p>
    <w:p>
      <w:pPr>
        <w:widowControl/>
        <w:spacing w:line="400" w:lineRule="exact"/>
        <w:rPr>
          <w:rFonts w:hint="default" w:asciiTheme="minorEastAsia" w:hAnsiTheme="minorEastAsia" w:eastAsiaTheme="minorEastAsia" w:cstheme="minorEastAsia"/>
          <w:bCs/>
          <w:color w:val="000000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val="en-US" w:eastAsia="zh-CN"/>
        </w:rPr>
        <w:t xml:space="preserve">设备放置位置有厂家筑水泥地面、做基建安装 </w:t>
      </w:r>
      <w:bookmarkStart w:id="0" w:name="_GoBack"/>
      <w:bookmarkEnd w:id="0"/>
    </w:p>
    <w:p>
      <w:pPr>
        <w:spacing w:line="400" w:lineRule="exact"/>
        <w:rPr>
          <w:rFonts w:asciiTheme="minorEastAsia" w:hAnsiTheme="minorEastAsia" w:eastAsiaTheme="minorEastAsia" w:cstheme="minorEastAsia"/>
          <w:bCs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 xml:space="preserve">4.机器外观颜色:  </w:t>
      </w:r>
      <w:r>
        <w:rPr>
          <w:rFonts w:hint="eastAsia" w:asciiTheme="minorEastAsia" w:hAnsiTheme="minorEastAsia" w:eastAsiaTheme="minorEastAsia" w:cstheme="minorEastAsia"/>
          <w:szCs w:val="24"/>
        </w:rPr>
        <w:t>5Y9/1.5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4"/>
        </w:rPr>
        <w:t>安全防护装置涂警戒色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>设备主要配件标准元器件品牌：</w:t>
      </w:r>
    </w:p>
    <w:tbl>
      <w:tblPr>
        <w:tblStyle w:val="6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347"/>
        <w:gridCol w:w="2954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序列</w:t>
            </w:r>
          </w:p>
        </w:tc>
        <w:tc>
          <w:tcPr>
            <w:tcW w:w="234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主要配置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品牌</w:t>
            </w:r>
          </w:p>
        </w:tc>
        <w:tc>
          <w:tcPr>
            <w:tcW w:w="3430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34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PLC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欧姆龙、西门子</w:t>
            </w:r>
          </w:p>
        </w:tc>
        <w:tc>
          <w:tcPr>
            <w:tcW w:w="3430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日本、德国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34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触摸屏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威纶、昆仑通态</w:t>
            </w:r>
          </w:p>
        </w:tc>
        <w:tc>
          <w:tcPr>
            <w:tcW w:w="3430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347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接触器、断路器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施耐德、ABB</w:t>
            </w:r>
          </w:p>
        </w:tc>
        <w:tc>
          <w:tcPr>
            <w:tcW w:w="3430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2347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变频器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汇川/台达</w:t>
            </w:r>
          </w:p>
        </w:tc>
        <w:tc>
          <w:tcPr>
            <w:tcW w:w="3430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4"/>
              </w:rPr>
            </w:pPr>
          </w:p>
        </w:tc>
      </w:tr>
    </w:tbl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b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提供设备的易损件清单,并配备2套备品备件：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提供随机附件清单：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安装工程：设备安装调试期为15天。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标准规则: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依据相关法律法规：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(1)《中华人民共和国环境保护法》 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(2)《大气污染物综合排放标准》 （GB16297-1996） 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(3)《恶臭污染物排放标准》 (GB14554-1993)；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(4)《环境空气质量标准》 （GB3095-2012） 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(5)《 工厂企业厂界噪声标准及其测量方法》 (GB12348～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12349-90)；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(6)《工作场所有害因素职业接触限值》 (GBZ 2-2002)；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(7)《工业企业设计卫生标准》 (GBZ 1-2002)；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(8)《建设项目环境保护条例》 中华人民共和国国务院令第 253</w:t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41"/>
          <w:rFonts w:hint="eastAsia" w:asciiTheme="minorEastAsia" w:hAnsiTheme="minorEastAsia" w:eastAsiaTheme="minorEastAsia" w:cstheme="minorEastAsia"/>
          <w:sz w:val="24"/>
          <w:szCs w:val="24"/>
        </w:rPr>
        <w:t>号 1998；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安全标准：</w:t>
      </w:r>
    </w:p>
    <w:p>
      <w:pPr>
        <w:numPr>
          <w:ilvl w:val="0"/>
          <w:numId w:val="4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设备上配备急停按钮及防护罩</w:t>
      </w:r>
    </w:p>
    <w:p>
      <w:pPr>
        <w:numPr>
          <w:ilvl w:val="0"/>
          <w:numId w:val="4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内部有消防报警及喷淋功能。</w:t>
      </w:r>
    </w:p>
    <w:p>
      <w:pPr>
        <w:numPr>
          <w:ilvl w:val="0"/>
          <w:numId w:val="1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提交文件资料：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b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szCs w:val="24"/>
        </w:rPr>
        <w:t>合格证</w:t>
      </w:r>
      <w:r>
        <w:rPr>
          <w:rFonts w:hint="eastAsia" w:asciiTheme="minorEastAsia" w:hAnsiTheme="minorEastAsia" w:eastAsiaTheme="minorEastAsia" w:cstheme="minorEastAsia"/>
          <w:b/>
          <w:szCs w:val="24"/>
        </w:rPr>
        <w:t xml:space="preserve"> 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2.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说明书 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              </w:t>
      </w:r>
    </w:p>
    <w:p>
      <w:pPr>
        <w:tabs>
          <w:tab w:val="left" w:pos="5640"/>
        </w:tabs>
        <w:spacing w:line="400" w:lineRule="exact"/>
        <w:ind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1）设备使用</w:t>
      </w:r>
      <w:r>
        <w:rPr>
          <w:rFonts w:hint="eastAsia" w:asciiTheme="minorEastAsia" w:hAnsiTheme="minorEastAsia" w:eastAsiaTheme="minorEastAsia" w:cstheme="minorEastAsia"/>
          <w:szCs w:val="24"/>
        </w:rPr>
        <w:t>说明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2）关键部件、配件</w:t>
      </w:r>
      <w:r>
        <w:rPr>
          <w:rFonts w:hint="eastAsia" w:asciiTheme="minorEastAsia" w:hAnsiTheme="minorEastAsia" w:eastAsiaTheme="minorEastAsia" w:cstheme="minorEastAsia"/>
          <w:szCs w:val="24"/>
        </w:rPr>
        <w:t>操作说明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书：如：变频器、纠偏控制器、伺服电机驱动器等。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3.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图纸 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      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1）</w:t>
      </w:r>
      <w:r>
        <w:rPr>
          <w:rFonts w:hint="eastAsia" w:asciiTheme="minorEastAsia" w:hAnsiTheme="minorEastAsia" w:eastAsiaTheme="minorEastAsia" w:cstheme="minorEastAsia"/>
          <w:szCs w:val="24"/>
        </w:rPr>
        <w:t>设备安装布置图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2）</w:t>
      </w:r>
      <w:r>
        <w:rPr>
          <w:rFonts w:hint="eastAsia" w:asciiTheme="minorEastAsia" w:hAnsiTheme="minorEastAsia" w:eastAsiaTheme="minorEastAsia" w:cstheme="minorEastAsia"/>
          <w:szCs w:val="24"/>
        </w:rPr>
        <w:t>电器原理图</w:t>
      </w:r>
    </w:p>
    <w:p>
      <w:pPr>
        <w:spacing w:line="400" w:lineRule="exact"/>
        <w:ind w:firstLine="48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 xml:space="preserve">4. 培训资料： </w:t>
      </w:r>
    </w:p>
    <w:p>
      <w:pPr>
        <w:spacing w:line="400" w:lineRule="exact"/>
        <w:ind w:firstLine="48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1）操作注意事项</w:t>
      </w:r>
    </w:p>
    <w:p>
      <w:pPr>
        <w:spacing w:line="400" w:lineRule="exact"/>
        <w:ind w:firstLine="48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2）日常保养</w:t>
      </w:r>
    </w:p>
    <w:p>
      <w:pPr>
        <w:spacing w:line="400" w:lineRule="exact"/>
        <w:ind w:firstLine="48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3）运行注意事项</w:t>
      </w:r>
    </w:p>
    <w:p>
      <w:pPr>
        <w:spacing w:line="400" w:lineRule="exact"/>
        <w:ind w:firstLine="48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4）开机准备操作流程</w:t>
      </w:r>
    </w:p>
    <w:p>
      <w:pPr>
        <w:spacing w:line="400" w:lineRule="exact"/>
        <w:ind w:firstLine="48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5）开机操作流程</w:t>
      </w:r>
    </w:p>
    <w:p>
      <w:pPr>
        <w:pStyle w:val="42"/>
        <w:numPr>
          <w:ilvl w:val="0"/>
          <w:numId w:val="5"/>
        </w:numPr>
        <w:spacing w:line="400" w:lineRule="exact"/>
        <w:ind w:firstLineChars="0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关机操作流程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九、设备验收：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1、车间生产情况下设备连续使用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个月，检测排放口的气体，符合环保部门A级企业的标准。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、内部活性碳的使用寿命大于2年。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、符合上述的各项条款。如不能满足以上三条，则设备供应商应在1</w:t>
      </w:r>
      <w:r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日内进行整改，如整改后仍不达标，则供方需无条件进行退货处理。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十、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产品质保要求：</w:t>
      </w:r>
    </w:p>
    <w:p>
      <w:pPr>
        <w:numPr>
          <w:ilvl w:val="0"/>
          <w:numId w:val="6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设备验收合格后，整机质保二年。</w:t>
      </w:r>
    </w:p>
    <w:p>
      <w:pPr>
        <w:numPr>
          <w:ilvl w:val="0"/>
          <w:numId w:val="6"/>
        </w:num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设备如涉及软件，则终身免费升级更新。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3,</w:t>
      </w: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接到售后电话 24 小时内到达现场并解决问题， 并随时提供更换材料或设备相关的技术咨询服务。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 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4"/>
        </w:rPr>
        <w:t xml:space="preserve">     </w:t>
      </w:r>
    </w:p>
    <w:p>
      <w:pPr>
        <w:spacing w:line="400" w:lineRule="exact"/>
        <w:ind w:firstLine="235" w:firstLineChars="98"/>
        <w:rPr>
          <w:rFonts w:asciiTheme="minorEastAsia" w:hAnsiTheme="minorEastAsia" w:eastAsiaTheme="minorEastAsia" w:cstheme="minorEastAsia"/>
          <w:szCs w:val="24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283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="宋体"/>
        <w:sz w:val="21"/>
        <w:szCs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810" w:hanging="8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810" w:hanging="8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double" w:color="auto" w:sz="8" w:space="0"/>
      </w:pBdr>
      <w:wordWrap w:val="0"/>
      <w:ind w:left="0" w:firstLine="0"/>
      <w:jc w:val="both"/>
      <w:rPr>
        <w:lang w:eastAsia="zh-CN"/>
      </w:rPr>
    </w:pPr>
    <w:r>
      <w:rPr>
        <w:rFonts w:hint="eastAsia"/>
        <w:lang w:eastAsia="zh-C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25B89"/>
    <w:multiLevelType w:val="singleLevel"/>
    <w:tmpl w:val="98425B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41AC2D"/>
    <w:multiLevelType w:val="singleLevel"/>
    <w:tmpl w:val="C541A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FAA61B"/>
    <w:multiLevelType w:val="singleLevel"/>
    <w:tmpl w:val="23FAA61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80" w:firstLine="0"/>
      </w:pPr>
    </w:lvl>
  </w:abstractNum>
  <w:abstractNum w:abstractNumId="3">
    <w:nsid w:val="56FFEF6C"/>
    <w:multiLevelType w:val="singleLevel"/>
    <w:tmpl w:val="56FFEF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3DBCCF"/>
    <w:multiLevelType w:val="singleLevel"/>
    <w:tmpl w:val="573DBCC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7E0F64BE"/>
    <w:multiLevelType w:val="multilevel"/>
    <w:tmpl w:val="7E0F64BE"/>
    <w:lvl w:ilvl="0" w:tentative="0">
      <w:start w:val="6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OGM4MDM3YjBhMmNhMGM1YTYyZTU5NzViYmQ4OWUifQ=="/>
  </w:docVars>
  <w:rsids>
    <w:rsidRoot w:val="00B3593C"/>
    <w:rsid w:val="00020966"/>
    <w:rsid w:val="00020E52"/>
    <w:rsid w:val="00036233"/>
    <w:rsid w:val="0004539C"/>
    <w:rsid w:val="0005614E"/>
    <w:rsid w:val="000764AC"/>
    <w:rsid w:val="001055D7"/>
    <w:rsid w:val="001539E9"/>
    <w:rsid w:val="001627D1"/>
    <w:rsid w:val="001638EB"/>
    <w:rsid w:val="00195518"/>
    <w:rsid w:val="001A662F"/>
    <w:rsid w:val="001E2762"/>
    <w:rsid w:val="00242831"/>
    <w:rsid w:val="00285BDA"/>
    <w:rsid w:val="00354BF9"/>
    <w:rsid w:val="00366E70"/>
    <w:rsid w:val="0037577B"/>
    <w:rsid w:val="003C56BC"/>
    <w:rsid w:val="003D1163"/>
    <w:rsid w:val="00447100"/>
    <w:rsid w:val="00466DDD"/>
    <w:rsid w:val="004A5068"/>
    <w:rsid w:val="00547C90"/>
    <w:rsid w:val="00560761"/>
    <w:rsid w:val="00590742"/>
    <w:rsid w:val="006361C8"/>
    <w:rsid w:val="006E15CC"/>
    <w:rsid w:val="006F7C40"/>
    <w:rsid w:val="00741BED"/>
    <w:rsid w:val="007462E3"/>
    <w:rsid w:val="00747E65"/>
    <w:rsid w:val="00822D05"/>
    <w:rsid w:val="00834F76"/>
    <w:rsid w:val="008C602E"/>
    <w:rsid w:val="008D4AA8"/>
    <w:rsid w:val="008E2A47"/>
    <w:rsid w:val="00927C61"/>
    <w:rsid w:val="00940E78"/>
    <w:rsid w:val="00952E37"/>
    <w:rsid w:val="0097462B"/>
    <w:rsid w:val="00977EEC"/>
    <w:rsid w:val="009A0F15"/>
    <w:rsid w:val="00A15442"/>
    <w:rsid w:val="00A219C4"/>
    <w:rsid w:val="00A2475E"/>
    <w:rsid w:val="00A73F52"/>
    <w:rsid w:val="00A80413"/>
    <w:rsid w:val="00AA46EE"/>
    <w:rsid w:val="00B04220"/>
    <w:rsid w:val="00B20DC7"/>
    <w:rsid w:val="00B24BE7"/>
    <w:rsid w:val="00B3593C"/>
    <w:rsid w:val="00B6718E"/>
    <w:rsid w:val="00BD39D6"/>
    <w:rsid w:val="00C06DEC"/>
    <w:rsid w:val="00C173DF"/>
    <w:rsid w:val="00C717A6"/>
    <w:rsid w:val="00C92A0E"/>
    <w:rsid w:val="00C92FD9"/>
    <w:rsid w:val="00CA138D"/>
    <w:rsid w:val="00CC3DAA"/>
    <w:rsid w:val="00D34336"/>
    <w:rsid w:val="00D963FC"/>
    <w:rsid w:val="00F109EF"/>
    <w:rsid w:val="00F258A2"/>
    <w:rsid w:val="00F74BE0"/>
    <w:rsid w:val="00FB2BB8"/>
    <w:rsid w:val="00FC6EC0"/>
    <w:rsid w:val="00FE567B"/>
    <w:rsid w:val="010F171D"/>
    <w:rsid w:val="01626374"/>
    <w:rsid w:val="01D628BE"/>
    <w:rsid w:val="066761DB"/>
    <w:rsid w:val="07A51140"/>
    <w:rsid w:val="0AA25A34"/>
    <w:rsid w:val="0AFA47F4"/>
    <w:rsid w:val="0B1932C5"/>
    <w:rsid w:val="0C2A1F97"/>
    <w:rsid w:val="0CE9794A"/>
    <w:rsid w:val="0E034060"/>
    <w:rsid w:val="0ECA6009"/>
    <w:rsid w:val="11704116"/>
    <w:rsid w:val="12132CCF"/>
    <w:rsid w:val="13B0529C"/>
    <w:rsid w:val="143040B0"/>
    <w:rsid w:val="19297320"/>
    <w:rsid w:val="1C020FA5"/>
    <w:rsid w:val="2196091D"/>
    <w:rsid w:val="21E85FCA"/>
    <w:rsid w:val="2961462C"/>
    <w:rsid w:val="29AE0C0C"/>
    <w:rsid w:val="2A0A0AD8"/>
    <w:rsid w:val="2B5D3585"/>
    <w:rsid w:val="2C414C55"/>
    <w:rsid w:val="2D3836A2"/>
    <w:rsid w:val="33E12037"/>
    <w:rsid w:val="34B06B79"/>
    <w:rsid w:val="35000CA3"/>
    <w:rsid w:val="353013E5"/>
    <w:rsid w:val="360D3DFA"/>
    <w:rsid w:val="36AE1139"/>
    <w:rsid w:val="38F117B0"/>
    <w:rsid w:val="3A500759"/>
    <w:rsid w:val="3BFA5FE0"/>
    <w:rsid w:val="3EB419D7"/>
    <w:rsid w:val="43D46B3C"/>
    <w:rsid w:val="44D1162D"/>
    <w:rsid w:val="44E65F41"/>
    <w:rsid w:val="472938D6"/>
    <w:rsid w:val="493A1BBB"/>
    <w:rsid w:val="4BE47BE3"/>
    <w:rsid w:val="4DD70B1D"/>
    <w:rsid w:val="4EB046C9"/>
    <w:rsid w:val="515210F0"/>
    <w:rsid w:val="53FC59AC"/>
    <w:rsid w:val="56056FC1"/>
    <w:rsid w:val="570C57C9"/>
    <w:rsid w:val="581A0A0A"/>
    <w:rsid w:val="58C63C68"/>
    <w:rsid w:val="5B6D46F7"/>
    <w:rsid w:val="5B8027F4"/>
    <w:rsid w:val="5BCB77E7"/>
    <w:rsid w:val="5DD62B9F"/>
    <w:rsid w:val="5DF23751"/>
    <w:rsid w:val="5F3C4C84"/>
    <w:rsid w:val="60046D86"/>
    <w:rsid w:val="61324033"/>
    <w:rsid w:val="6635242D"/>
    <w:rsid w:val="69100115"/>
    <w:rsid w:val="6A195611"/>
    <w:rsid w:val="6A7433A9"/>
    <w:rsid w:val="6BA6732B"/>
    <w:rsid w:val="6C9A123C"/>
    <w:rsid w:val="6DBF0ABE"/>
    <w:rsid w:val="6F0D3F47"/>
    <w:rsid w:val="703F6560"/>
    <w:rsid w:val="70453BB5"/>
    <w:rsid w:val="74340066"/>
    <w:rsid w:val="74836A59"/>
    <w:rsid w:val="77DB0138"/>
    <w:rsid w:val="78616A72"/>
    <w:rsid w:val="7B314B86"/>
    <w:rsid w:val="7BC93C1B"/>
    <w:rsid w:val="7BF96EEA"/>
    <w:rsid w:val="7C211B57"/>
    <w:rsid w:val="7DA97531"/>
    <w:rsid w:val="7EBD4915"/>
    <w:rsid w:val="7F4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outlineLvl w:val="3"/>
    </w:pPr>
    <w:rPr>
      <w:rFonts w:eastAsia="宋体"/>
      <w:sz w:val="28"/>
      <w:szCs w:val="24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left="810" w:hanging="81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PMingLiU" w:cs="Times New Roman"/>
      <w:sz w:val="18"/>
      <w:szCs w:val="18"/>
      <w:lang w:eastAsia="zh-TW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4 字符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customStyle="1" w:styleId="14">
    <w:name w:val="样式1"/>
    <w:basedOn w:val="5"/>
    <w:link w:val="16"/>
    <w:qFormat/>
    <w:uiPriority w:val="0"/>
    <w:pPr>
      <w:pBdr>
        <w:bottom w:val="none" w:color="auto" w:sz="0" w:space="0"/>
      </w:pBdr>
    </w:pPr>
  </w:style>
  <w:style w:type="paragraph" w:customStyle="1" w:styleId="15">
    <w:name w:val="样式2"/>
    <w:basedOn w:val="1"/>
    <w:link w:val="18"/>
    <w:qFormat/>
    <w:uiPriority w:val="0"/>
    <w:pPr>
      <w:tabs>
        <w:tab w:val="left" w:pos="1215"/>
      </w:tabs>
    </w:pPr>
  </w:style>
  <w:style w:type="character" w:customStyle="1" w:styleId="16">
    <w:name w:val="样式1 Char"/>
    <w:basedOn w:val="9"/>
    <w:link w:val="14"/>
    <w:qFormat/>
    <w:uiPriority w:val="0"/>
    <w:rPr>
      <w:rFonts w:ascii="Times New Roman" w:hAnsi="Times New Roman" w:eastAsia="PMingLiU" w:cs="Times New Roman"/>
      <w:sz w:val="18"/>
      <w:szCs w:val="18"/>
      <w:lang w:eastAsia="zh-TW"/>
    </w:rPr>
  </w:style>
  <w:style w:type="paragraph" w:customStyle="1" w:styleId="17">
    <w:name w:val="样式3"/>
    <w:basedOn w:val="15"/>
    <w:link w:val="20"/>
    <w:qFormat/>
    <w:uiPriority w:val="0"/>
    <w:pPr>
      <w:pBdr>
        <w:top w:val="single" w:color="auto" w:sz="6" w:space="1"/>
      </w:pBdr>
    </w:pPr>
  </w:style>
  <w:style w:type="character" w:customStyle="1" w:styleId="18">
    <w:name w:val="样式2 Char"/>
    <w:basedOn w:val="8"/>
    <w:link w:val="15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19">
    <w:name w:val="样式4"/>
    <w:basedOn w:val="17"/>
    <w:link w:val="22"/>
    <w:qFormat/>
    <w:uiPriority w:val="0"/>
    <w:pPr>
      <w:pBdr>
        <w:top w:val="none" w:color="auto" w:sz="0" w:space="0"/>
      </w:pBdr>
    </w:pPr>
  </w:style>
  <w:style w:type="character" w:customStyle="1" w:styleId="20">
    <w:name w:val="样式3 Char"/>
    <w:basedOn w:val="18"/>
    <w:link w:val="17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1">
    <w:name w:val="样式5"/>
    <w:basedOn w:val="19"/>
    <w:link w:val="24"/>
    <w:qFormat/>
    <w:uiPriority w:val="0"/>
    <w:pPr>
      <w:pBdr>
        <w:top w:val="thinThickSmallGap" w:color="auto" w:sz="24" w:space="1"/>
      </w:pBdr>
    </w:pPr>
  </w:style>
  <w:style w:type="character" w:customStyle="1" w:styleId="22">
    <w:name w:val="样式4 Char"/>
    <w:basedOn w:val="20"/>
    <w:link w:val="19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3">
    <w:name w:val="样式6"/>
    <w:basedOn w:val="21"/>
    <w:link w:val="26"/>
    <w:qFormat/>
    <w:uiPriority w:val="0"/>
  </w:style>
  <w:style w:type="character" w:customStyle="1" w:styleId="24">
    <w:name w:val="样式5 Char"/>
    <w:basedOn w:val="22"/>
    <w:link w:val="21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5">
    <w:name w:val="样式7"/>
    <w:basedOn w:val="23"/>
    <w:link w:val="27"/>
    <w:qFormat/>
    <w:uiPriority w:val="0"/>
  </w:style>
  <w:style w:type="character" w:customStyle="1" w:styleId="26">
    <w:name w:val="样式6 Char"/>
    <w:basedOn w:val="24"/>
    <w:link w:val="23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character" w:customStyle="1" w:styleId="27">
    <w:name w:val="样式7 Char"/>
    <w:basedOn w:val="26"/>
    <w:link w:val="25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8">
    <w:name w:val="样式8"/>
    <w:basedOn w:val="25"/>
    <w:link w:val="30"/>
    <w:qFormat/>
    <w:uiPriority w:val="0"/>
  </w:style>
  <w:style w:type="paragraph" w:customStyle="1" w:styleId="29">
    <w:name w:val="样式9"/>
    <w:basedOn w:val="28"/>
    <w:link w:val="32"/>
    <w:qFormat/>
    <w:uiPriority w:val="0"/>
    <w:pPr>
      <w:pBdr>
        <w:top w:val="none" w:color="auto" w:sz="0" w:space="0"/>
      </w:pBdr>
    </w:pPr>
    <w:rPr>
      <w:rFonts w:eastAsiaTheme="minorEastAsia"/>
      <w:lang w:eastAsia="zh-CN"/>
    </w:rPr>
  </w:style>
  <w:style w:type="character" w:customStyle="1" w:styleId="30">
    <w:name w:val="样式8 Char"/>
    <w:basedOn w:val="27"/>
    <w:link w:val="28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1">
    <w:name w:val="样式10"/>
    <w:basedOn w:val="1"/>
    <w:link w:val="34"/>
    <w:qFormat/>
    <w:uiPriority w:val="0"/>
  </w:style>
  <w:style w:type="character" w:customStyle="1" w:styleId="32">
    <w:name w:val="样式9 Char"/>
    <w:basedOn w:val="30"/>
    <w:link w:val="29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3">
    <w:name w:val="样式11"/>
    <w:basedOn w:val="31"/>
    <w:link w:val="36"/>
    <w:qFormat/>
    <w:uiPriority w:val="0"/>
    <w:pPr>
      <w:pBdr>
        <w:top w:val="single" w:color="auto" w:sz="6" w:space="1"/>
      </w:pBdr>
    </w:pPr>
  </w:style>
  <w:style w:type="character" w:customStyle="1" w:styleId="34">
    <w:name w:val="样式10 Char"/>
    <w:basedOn w:val="8"/>
    <w:link w:val="31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5">
    <w:name w:val="样式12"/>
    <w:basedOn w:val="14"/>
    <w:link w:val="38"/>
    <w:qFormat/>
    <w:uiPriority w:val="0"/>
    <w:rPr>
      <w:rFonts w:hAnsi="宋体" w:eastAsia="宋体"/>
      <w:b/>
      <w:sz w:val="32"/>
      <w:lang w:eastAsia="zh-CN"/>
    </w:rPr>
  </w:style>
  <w:style w:type="character" w:customStyle="1" w:styleId="36">
    <w:name w:val="样式11 Char"/>
    <w:basedOn w:val="34"/>
    <w:link w:val="33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7">
    <w:name w:val="样式13"/>
    <w:basedOn w:val="1"/>
    <w:link w:val="39"/>
    <w:qFormat/>
    <w:uiPriority w:val="0"/>
    <w:pPr>
      <w:pBdr>
        <w:bottom w:val="single" w:color="auto" w:sz="18" w:space="1"/>
      </w:pBdr>
    </w:pPr>
    <w:rPr>
      <w:rFonts w:eastAsiaTheme="minorEastAsia"/>
      <w:lang w:eastAsia="zh-CN"/>
    </w:rPr>
  </w:style>
  <w:style w:type="character" w:customStyle="1" w:styleId="38">
    <w:name w:val="样式12 Char"/>
    <w:basedOn w:val="16"/>
    <w:link w:val="35"/>
    <w:qFormat/>
    <w:uiPriority w:val="0"/>
    <w:rPr>
      <w:rFonts w:ascii="Times New Roman" w:hAnsi="宋体" w:eastAsia="宋体" w:cs="Times New Roman"/>
      <w:b/>
      <w:sz w:val="32"/>
      <w:szCs w:val="18"/>
      <w:lang w:eastAsia="zh-TW"/>
    </w:rPr>
  </w:style>
  <w:style w:type="character" w:customStyle="1" w:styleId="39">
    <w:name w:val="样式13 Char"/>
    <w:basedOn w:val="8"/>
    <w:link w:val="37"/>
    <w:qFormat/>
    <w:uiPriority w:val="0"/>
    <w:rPr>
      <w:rFonts w:ascii="Times New Roman" w:hAnsi="Times New Roman" w:cs="Times New Roman"/>
      <w:sz w:val="24"/>
      <w:szCs w:val="20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</w:style>
  <w:style w:type="character" w:customStyle="1" w:styleId="41">
    <w:name w:val="fontstyle01"/>
    <w:basedOn w:val="8"/>
    <w:qFormat/>
    <w:uiPriority w:val="0"/>
    <w:rPr>
      <w:rFonts w:ascii="宋体" w:hAnsi="宋体" w:eastAsia="宋体" w:cs="宋体"/>
      <w:color w:val="000000"/>
      <w:sz w:val="28"/>
      <w:szCs w:val="28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866A-B58D-45DC-8F19-6A15D6D19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1340</Words>
  <Characters>1678</Characters>
  <Lines>15</Lines>
  <Paragraphs>4</Paragraphs>
  <TotalTime>214</TotalTime>
  <ScaleCrop>false</ScaleCrop>
  <LinksUpToDate>false</LinksUpToDate>
  <CharactersWithSpaces>1892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2013-08-22T00:24:00Z</dcterms:created>
  <dc:creator>gmsb</dc:creator>
  <cp:lastModifiedBy>WPS_1647927948</cp:lastModifiedBy>
  <dcterms:modified xsi:type="dcterms:W3CDTF">2023-04-01T01:57:04Z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26F4E58F561E4E1EAAB1A548EB058470</vt:lpwstr>
  </property>
</Properties>
</file>