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山东省微山湖矿业集团有限公司欢城煤矿</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ZDC30-2.5斜巷跑车防护装置</w:t>
      </w:r>
    </w:p>
    <w:p>
      <w:pPr>
        <w:spacing w:line="700" w:lineRule="exact"/>
        <w:ind w:firstLine="3313" w:firstLineChars="750"/>
        <w:rPr>
          <w:rFonts w:hint="eastAsia" w:ascii="宋体" w:hAnsi="宋体" w:eastAsia="宋体" w:cs="宋体"/>
          <w:b/>
          <w:bCs/>
          <w:sz w:val="44"/>
          <w:szCs w:val="44"/>
        </w:rPr>
      </w:pPr>
    </w:p>
    <w:p>
      <w:pPr>
        <w:spacing w:line="700" w:lineRule="exact"/>
        <w:ind w:left="-58" w:leftChars="-85" w:hanging="120" w:hangingChars="40"/>
        <w:rPr>
          <w:rFonts w:hint="eastAsia" w:ascii="黑体" w:eastAsia="黑体"/>
          <w:sz w:val="30"/>
        </w:rPr>
      </w:pPr>
    </w:p>
    <w:p>
      <w:pPr>
        <w:spacing w:line="700" w:lineRule="exact"/>
        <w:ind w:left="-58" w:leftChars="-85" w:hanging="120" w:hangingChars="40"/>
        <w:rPr>
          <w:rFonts w:hint="eastAsia" w:ascii="宋体" w:hAnsi="宋体" w:eastAsia="宋体" w:cs="宋体"/>
          <w:b/>
          <w:bCs/>
          <w:sz w:val="44"/>
          <w:szCs w:val="44"/>
          <w:lang w:val="en-US" w:eastAsia="zh-CN"/>
        </w:rPr>
      </w:pPr>
      <w:r>
        <w:rPr>
          <w:rFonts w:hint="eastAsia" w:ascii="黑体" w:eastAsia="黑体"/>
          <w:sz w:val="30"/>
          <w:lang w:val="en-US" w:eastAsia="zh-CN"/>
        </w:rPr>
        <w:t xml:space="preserve">                      </w:t>
      </w:r>
      <w:r>
        <w:rPr>
          <w:rFonts w:hint="eastAsia" w:ascii="宋体" w:hAnsi="宋体" w:eastAsia="宋体" w:cs="宋体"/>
          <w:sz w:val="44"/>
          <w:szCs w:val="44"/>
          <w:lang w:val="en-US" w:eastAsia="zh-CN"/>
        </w:rPr>
        <w:t xml:space="preserve">   </w:t>
      </w:r>
      <w:r>
        <w:rPr>
          <w:rFonts w:hint="eastAsia" w:ascii="宋体" w:hAnsi="宋体" w:eastAsia="宋体" w:cs="宋体"/>
          <w:b/>
          <w:bCs/>
          <w:sz w:val="44"/>
          <w:szCs w:val="44"/>
          <w:lang w:val="en-US" w:eastAsia="zh-CN"/>
        </w:rPr>
        <w:t xml:space="preserve"> 技</w:t>
      </w:r>
    </w:p>
    <w:p>
      <w:pPr>
        <w:spacing w:line="700" w:lineRule="exact"/>
        <w:ind w:firstLine="3534" w:firstLineChars="800"/>
        <w:rPr>
          <w:rFonts w:hint="eastAsia" w:ascii="宋体" w:hAnsi="宋体" w:eastAsia="宋体" w:cs="宋体"/>
          <w:b/>
          <w:bCs/>
          <w:sz w:val="44"/>
          <w:szCs w:val="44"/>
          <w:lang w:val="en-US" w:eastAsia="zh-CN"/>
        </w:rPr>
      </w:pPr>
    </w:p>
    <w:p>
      <w:pPr>
        <w:spacing w:line="700" w:lineRule="exact"/>
        <w:ind w:firstLine="3975" w:firstLineChars="9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术</w:t>
      </w:r>
    </w:p>
    <w:p>
      <w:pPr>
        <w:spacing w:line="700" w:lineRule="exact"/>
        <w:ind w:firstLine="3534" w:firstLineChars="800"/>
        <w:rPr>
          <w:rFonts w:hint="eastAsia" w:ascii="宋体" w:hAnsi="宋体" w:eastAsia="宋体" w:cs="宋体"/>
          <w:b/>
          <w:bCs/>
          <w:sz w:val="44"/>
          <w:szCs w:val="44"/>
          <w:lang w:val="en-US" w:eastAsia="zh-CN"/>
        </w:rPr>
      </w:pPr>
    </w:p>
    <w:p>
      <w:pPr>
        <w:spacing w:line="700" w:lineRule="exact"/>
        <w:ind w:firstLine="3975" w:firstLineChars="9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规</w:t>
      </w:r>
    </w:p>
    <w:p>
      <w:pPr>
        <w:spacing w:line="700" w:lineRule="exact"/>
        <w:ind w:firstLine="3534" w:firstLineChars="800"/>
        <w:rPr>
          <w:rFonts w:hint="eastAsia" w:ascii="宋体" w:hAnsi="宋体" w:eastAsia="宋体" w:cs="宋体"/>
          <w:b/>
          <w:bCs/>
          <w:sz w:val="44"/>
          <w:szCs w:val="44"/>
          <w:lang w:val="en-US" w:eastAsia="zh-CN"/>
        </w:rPr>
      </w:pPr>
    </w:p>
    <w:p>
      <w:pPr>
        <w:spacing w:line="700" w:lineRule="exact"/>
        <w:ind w:firstLine="3975" w:firstLineChars="9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格</w:t>
      </w:r>
    </w:p>
    <w:p>
      <w:pPr>
        <w:spacing w:line="700" w:lineRule="exact"/>
        <w:ind w:firstLine="3975" w:firstLineChars="900"/>
        <w:rPr>
          <w:rFonts w:hint="eastAsia" w:ascii="宋体" w:hAnsi="宋体" w:eastAsia="宋体" w:cs="宋体"/>
          <w:b/>
          <w:bCs/>
          <w:sz w:val="44"/>
          <w:szCs w:val="44"/>
          <w:lang w:val="en-US" w:eastAsia="zh-CN"/>
        </w:rPr>
      </w:pPr>
    </w:p>
    <w:p>
      <w:pPr>
        <w:spacing w:line="700" w:lineRule="exact"/>
        <w:ind w:firstLine="3975" w:firstLineChars="9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书</w:t>
      </w:r>
    </w:p>
    <w:p>
      <w:pPr>
        <w:spacing w:line="700" w:lineRule="exact"/>
        <w:ind w:left="-58" w:leftChars="-85" w:hanging="120" w:hangingChars="40"/>
        <w:rPr>
          <w:rFonts w:hint="eastAsia" w:ascii="黑体" w:eastAsia="黑体"/>
          <w:b/>
          <w:bCs/>
          <w:sz w:val="30"/>
        </w:rPr>
      </w:pPr>
    </w:p>
    <w:p>
      <w:pPr>
        <w:spacing w:line="700" w:lineRule="exact"/>
        <w:ind w:left="-58" w:leftChars="-85" w:hanging="120" w:hangingChars="40"/>
        <w:rPr>
          <w:rFonts w:hint="eastAsia" w:ascii="黑体" w:eastAsia="黑体"/>
          <w:sz w:val="30"/>
        </w:rPr>
      </w:pPr>
    </w:p>
    <w:p>
      <w:pPr>
        <w:spacing w:line="700" w:lineRule="exact"/>
        <w:ind w:left="-58" w:leftChars="-85" w:hanging="120" w:hangingChars="40"/>
        <w:rPr>
          <w:rFonts w:hint="eastAsia" w:ascii="黑体" w:eastAsia="黑体"/>
          <w:sz w:val="30"/>
        </w:rPr>
      </w:pPr>
    </w:p>
    <w:p>
      <w:pPr>
        <w:spacing w:line="700" w:lineRule="exact"/>
        <w:ind w:left="-58" w:leftChars="-85" w:hanging="120" w:hangingChars="40"/>
        <w:rPr>
          <w:rFonts w:hint="eastAsia" w:ascii="黑体" w:eastAsia="黑体"/>
          <w:sz w:val="30"/>
        </w:rPr>
      </w:pPr>
    </w:p>
    <w:p>
      <w:pPr>
        <w:spacing w:line="700" w:lineRule="exact"/>
        <w:ind w:left="-58" w:leftChars="-85" w:hanging="120" w:hangingChars="40"/>
        <w:rPr>
          <w:rFonts w:hint="eastAsia" w:ascii="黑体" w:eastAsia="黑体"/>
          <w:sz w:val="30"/>
        </w:rPr>
      </w:pPr>
    </w:p>
    <w:p>
      <w:pPr>
        <w:spacing w:line="700" w:lineRule="exact"/>
        <w:ind w:left="-49" w:leftChars="-85" w:hanging="129" w:hangingChars="4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2023年3月</w:t>
      </w:r>
    </w:p>
    <w:p>
      <w:pPr>
        <w:spacing w:line="700" w:lineRule="exact"/>
        <w:ind w:left="-58" w:leftChars="-85" w:hanging="120" w:hangingChars="40"/>
        <w:rPr>
          <w:rFonts w:hint="eastAsia" w:ascii="黑体" w:eastAsia="黑体"/>
          <w:sz w:val="30"/>
        </w:rPr>
      </w:pP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b/>
          <w:bCs/>
          <w:sz w:val="28"/>
          <w:szCs w:val="28"/>
        </w:rPr>
        <w:t>、系统概述：</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系统有主机控制台（内含PLC控制器、10.1寸液晶显示屏等）、轴编码器、挡车装置分控制箱、挡车装置开闭传感器、吸能器、柔性挡车栏等设备组成。正常情况下挡车栏处于关闭状态。当绞车启动运行，矿车到达设定位置时，挡车栏自动下落，矿车通过后，挡车栏自动升起。当矿车超速、跑车、溜车时，挡车栏对跑车进行可靠的阻拦，避免事故发生</w:t>
      </w:r>
      <w:r>
        <w:rPr>
          <w:rFonts w:hint="eastAsia" w:ascii="宋体" w:hAnsi="宋体" w:eastAsia="宋体" w:cs="宋体"/>
          <w:sz w:val="28"/>
          <w:szCs w:val="28"/>
          <w:lang w:eastAsia="zh-CN"/>
        </w:rPr>
        <w:t>，</w:t>
      </w:r>
      <w:r>
        <w:rPr>
          <w:rFonts w:hint="eastAsia" w:ascii="宋体" w:hAnsi="宋体" w:eastAsia="宋体" w:cs="宋体"/>
          <w:sz w:val="28"/>
          <w:szCs w:val="28"/>
        </w:rPr>
        <w:t>主要用于倾角在30度以下的运输斜巷中。</w:t>
      </w:r>
    </w:p>
    <w:p>
      <w:pPr>
        <w:pageBreakBefore w:val="0"/>
        <w:kinsoku/>
        <w:wordWrap/>
        <w:overflowPunct/>
        <w:topLinePunct w:val="0"/>
        <w:autoSpaceDE/>
        <w:autoSpaceDN/>
        <w:bidi w:val="0"/>
        <w:adjustRightInd w:val="0"/>
        <w:snapToGrid w:val="0"/>
        <w:spacing w:before="156" w:beforeLines="50" w:after="156" w:afterLines="5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sz w:val="28"/>
          <w:szCs w:val="28"/>
        </w:rPr>
        <w:t>二、主要技术参数：</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⑴控制器供电电压：127V</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⑵本安输出电压：DC12V</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⑶本安输出电流：DC450mA</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⑷挡车制动距离：≤5m</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⑸提升方式：  气动提升 </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⑺最大提升重量：150kg</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⑻矿车位检测精度：≤0.01m</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⑼系统动作时间：≤2s</w:t>
      </w:r>
    </w:p>
    <w:p>
      <w:pPr>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 、基本功能</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①跑车防护装置具有手动、自动控制功能，并采用气动控制方式。</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②跑车防护装置设计为常闭式，正常情况下，挡车栏处于关闭状态。当绞车启动正常运行，矿车到达设定位置时，挡车栏自动升起，矿车通过后，挡车栏自动下落。</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当矿车超速、跑车、溜车时，挡车栏对跑车进行可靠的阻拦，避免事故发生。</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③防跑车装置与绞车提升联动，自动状态下挡车栏根据矿车的运行位置进行自动运行上升和下降动作，从而实现自动控制。</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挡车栏发生故障不能升起时，输出停车信号至绞车电控系统。</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④系统能够对挡车栏的状态进行实时监控，安装上到位，下到位自动检测开关，对挡车栏的上升、下降、脱扣、自动下滑进行检测和报警。</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⑤升降位置自动计算，根据矿车的运行方向，矿车数量和挡车栏安装位置，自动计算矿车运行到何处时挡车栏升起，运行到何处时挡车栏下降，做到提前一段时间打开挡车栏以防撞上挡车栏，矿车通过后立即落下挡车栏，从而更好的保护巷道。</w:t>
      </w:r>
    </w:p>
    <w:p>
      <w:pPr>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四、工作原理及安装</w:t>
      </w:r>
    </w:p>
    <w:p>
      <w:pPr>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1、工作原理</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在绞车附近放置主机控制台一台，对挡车栏进行自动控制，实时显示绞车的运行位置及挡车栏开闭状态。</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斜巷防跑车装置采用旋转编码器作为测距传感器、PLC作为控制核心，在绞车启动时，绞车房主控PLC对编码器发出的脉冲进行计数，PLC根据计数的结果转换为绞车的旋转方向，从而判断出矿车现在的位置和运行方向。当检测出矿车的位置在某一道挡车栏预定提升点时（提升点根据矿车运行方向自动进行计算），主控PLC发出上提指令给挡车栏信号控制箱，开始提升挡车栏；当检测到矿车的位置运行到该道挡车栏预定的下降点时（下降点根据矿车运行方向自动进行计算），主控PLC发出下降指令给该挡车栏控制箱，下放挡车栏。</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在运行时，若挡车栏在规定的时间没有上升到位或者下降到位的时候，设备会发出超时报警并输出闭锁信号，绞车安全回路断开，有效的防止事故的发生。</w:t>
      </w:r>
    </w:p>
    <w:p>
      <w:pPr>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rPr>
        <w:t>2、安装</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挡车栏采用规格为Φ26-6X37的钢丝绳，钢丝绳固定在挡车栏上，挡车栏与吸能器之间的距离大于5米，挡车栏钢丝绳经过吸能器，末端留余绳6米，在末端处加Φ28绳卡固定。牵引挡车栏的钢丝绳Φ10固定在距离两滑轮中间，提升挡车栏钢丝绳通过滑轮后连接到气缸滚轮上，钢丝绳与巷道轨距平行一直线。要确保挡车栏提升到位后，离轨面距离大于通过物件的高度。</w:t>
      </w:r>
    </w:p>
    <w:p>
      <w:pPr>
        <w:pageBreakBefore w:val="0"/>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五、系统配置表</w:t>
      </w:r>
    </w:p>
    <w:p>
      <w:pPr>
        <w:pageBreakBefore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跑车防护装置系统配置表（</w:t>
      </w:r>
      <w:r>
        <w:rPr>
          <w:rFonts w:hint="eastAsia" w:ascii="宋体" w:hAnsi="宋体" w:cs="宋体"/>
          <w:sz w:val="28"/>
          <w:szCs w:val="28"/>
          <w:lang w:val="en-US" w:eastAsia="zh-CN"/>
        </w:rPr>
        <w:t>4</w:t>
      </w:r>
      <w:r>
        <w:rPr>
          <w:rFonts w:hint="eastAsia" w:ascii="宋体" w:hAnsi="宋体" w:eastAsia="宋体" w:cs="宋体"/>
          <w:sz w:val="28"/>
          <w:szCs w:val="28"/>
        </w:rPr>
        <w:t>档）</w:t>
      </w:r>
    </w:p>
    <w:tbl>
      <w:tblPr>
        <w:tblStyle w:val="5"/>
        <w:tblW w:w="8146" w:type="dxa"/>
        <w:jc w:val="center"/>
        <w:tblLayout w:type="fixed"/>
        <w:tblCellMar>
          <w:top w:w="0" w:type="dxa"/>
          <w:left w:w="0" w:type="dxa"/>
          <w:bottom w:w="0" w:type="dxa"/>
          <w:right w:w="0" w:type="dxa"/>
        </w:tblCellMar>
      </w:tblPr>
      <w:tblGrid>
        <w:gridCol w:w="636"/>
        <w:gridCol w:w="2250"/>
        <w:gridCol w:w="1455"/>
        <w:gridCol w:w="765"/>
        <w:gridCol w:w="795"/>
        <w:gridCol w:w="2245"/>
      </w:tblGrid>
      <w:tr>
        <w:tblPrEx>
          <w:tblCellMar>
            <w:top w:w="0" w:type="dxa"/>
            <w:left w:w="0" w:type="dxa"/>
            <w:bottom w:w="0" w:type="dxa"/>
            <w:right w:w="0" w:type="dxa"/>
          </w:tblCellMar>
        </w:tblPrEx>
        <w:trPr>
          <w:trHeight w:val="691" w:hRule="atLeast"/>
          <w:jc w:val="center"/>
        </w:trPr>
        <w:tc>
          <w:tcPr>
            <w:tcW w:w="6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22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名称</w:t>
            </w:r>
          </w:p>
        </w:tc>
        <w:tc>
          <w:tcPr>
            <w:tcW w:w="14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型号</w:t>
            </w:r>
          </w:p>
        </w:tc>
        <w:tc>
          <w:tcPr>
            <w:tcW w:w="76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单位</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数量</w:t>
            </w:r>
          </w:p>
        </w:tc>
        <w:tc>
          <w:tcPr>
            <w:tcW w:w="22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0" w:type="dxa"/>
            <w:bottom w:w="0" w:type="dxa"/>
            <w:right w:w="0" w:type="dxa"/>
          </w:tblCellMar>
        </w:tblPrEx>
        <w:trPr>
          <w:trHeight w:val="90"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矿用本安型跑车装置用操作台</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TH12CF</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台</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跑车防护装置用隔爆型操作显示箱</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CXB24ZD</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跑车防护装置用隔爆兼本安型电控箱</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KXJ127ZD</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lang w:eastAsia="zh-CN"/>
              </w:rPr>
            </w:pPr>
            <w:r>
              <w:rPr>
                <w:rFonts w:hint="eastAsia" w:ascii="宋体" w:hAnsi="宋体" w:cs="宋体"/>
                <w:sz w:val="28"/>
                <w:szCs w:val="28"/>
                <w:lang w:eastAsia="zh-CN"/>
              </w:rPr>
              <w:t>光纤接口</w:t>
            </w: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跑车防护装置用隔爆兼本安型分控箱</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KXJ127ZD</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台</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bookmarkStart w:id="0" w:name="_GoBack"/>
            <w:bookmarkEnd w:id="0"/>
            <w:r>
              <w:rPr>
                <w:rFonts w:hint="eastAsia" w:ascii="宋体" w:hAnsi="宋体" w:cs="宋体"/>
                <w:sz w:val="28"/>
                <w:szCs w:val="28"/>
                <w:lang w:eastAsia="zh-CN"/>
              </w:rPr>
              <w:t>光纤接口</w:t>
            </w: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本安型旋转脉冲编码器</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BQ</w:t>
            </w:r>
            <w:r>
              <w:rPr>
                <w:rFonts w:hint="eastAsia" w:ascii="宋体" w:hAnsi="宋体" w:eastAsia="宋体" w:cs="宋体"/>
                <w:sz w:val="28"/>
                <w:szCs w:val="28"/>
                <w:lang w:val="en-US" w:eastAsia="zh-CN"/>
              </w:rPr>
              <w:t>H12</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台</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矿用</w:t>
            </w:r>
            <w:r>
              <w:rPr>
                <w:rFonts w:hint="eastAsia" w:ascii="宋体" w:hAnsi="宋体" w:eastAsia="宋体" w:cs="宋体"/>
                <w:sz w:val="28"/>
                <w:szCs w:val="28"/>
                <w:lang w:val="en-US" w:eastAsia="zh-CN"/>
              </w:rPr>
              <w:t>本质安全型接近</w:t>
            </w:r>
            <w:r>
              <w:rPr>
                <w:rFonts w:hint="eastAsia" w:ascii="宋体" w:hAnsi="宋体" w:eastAsia="宋体" w:cs="宋体"/>
                <w:sz w:val="28"/>
                <w:szCs w:val="28"/>
              </w:rPr>
              <w:t>传感器</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G</w:t>
            </w:r>
            <w:r>
              <w:rPr>
                <w:rFonts w:hint="eastAsia" w:ascii="宋体" w:hAnsi="宋体" w:eastAsia="宋体" w:cs="宋体"/>
                <w:sz w:val="28"/>
                <w:szCs w:val="28"/>
                <w:lang w:val="en-US" w:eastAsia="zh-CN"/>
              </w:rPr>
              <w:t>UD-5</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台</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线圈气控箱</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JKX-127</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套</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含气管接头</w:t>
            </w: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8</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矿用本安型电磁阀</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DFH10/0.8</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9</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气管</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Φ1</w:t>
            </w:r>
            <w:r>
              <w:rPr>
                <w:rFonts w:hint="eastAsia" w:ascii="宋体" w:hAnsi="宋体" w:eastAsia="宋体" w:cs="宋体"/>
                <w:sz w:val="28"/>
                <w:szCs w:val="28"/>
                <w:lang w:val="en-US" w:eastAsia="zh-CN"/>
              </w:rPr>
              <w:t>2</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米</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00</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10</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气缸</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6</w:t>
            </w:r>
            <w:r>
              <w:rPr>
                <w:rFonts w:hint="eastAsia" w:ascii="宋体" w:hAnsi="宋体" w:eastAsia="宋体" w:cs="宋体"/>
                <w:sz w:val="28"/>
                <w:szCs w:val="28"/>
              </w:rPr>
              <w:t>00X1</w:t>
            </w:r>
            <w:r>
              <w:rPr>
                <w:rFonts w:hint="eastAsia" w:ascii="宋体" w:hAnsi="宋体" w:eastAsia="宋体" w:cs="宋体"/>
                <w:sz w:val="28"/>
                <w:szCs w:val="28"/>
                <w:lang w:val="en-US" w:eastAsia="zh-CN"/>
              </w:rPr>
              <w:t>25</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套</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含PC12-04接头，滑轮，固定支架</w:t>
            </w: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钢丝绳</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Φ10</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米</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0</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钢丝卡</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Φ10</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w:t>
            </w:r>
            <w:r>
              <w:rPr>
                <w:rFonts w:hint="eastAsia" w:ascii="宋体" w:hAnsi="宋体" w:eastAsia="宋体" w:cs="宋体"/>
                <w:sz w:val="28"/>
                <w:szCs w:val="28"/>
                <w:lang w:val="en-US" w:eastAsia="zh-CN"/>
              </w:rPr>
              <w:t>3</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刚</w:t>
            </w:r>
            <w:r>
              <w:rPr>
                <w:rFonts w:hint="eastAsia" w:ascii="宋体" w:hAnsi="宋体" w:eastAsia="宋体" w:cs="宋体"/>
                <w:sz w:val="28"/>
                <w:szCs w:val="28"/>
              </w:rPr>
              <w:t>性挡车栏</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00×</w:t>
            </w:r>
            <w:r>
              <w:rPr>
                <w:rFonts w:hint="eastAsia" w:ascii="宋体" w:hAnsi="宋体" w:eastAsia="宋体" w:cs="宋体"/>
                <w:sz w:val="28"/>
                <w:szCs w:val="28"/>
                <w:lang w:val="en-US" w:eastAsia="zh-CN"/>
              </w:rPr>
              <w:t>24</w:t>
            </w:r>
            <w:r>
              <w:rPr>
                <w:rFonts w:hint="eastAsia" w:ascii="宋体" w:hAnsi="宋体" w:eastAsia="宋体" w:cs="宋体"/>
                <w:sz w:val="28"/>
                <w:szCs w:val="28"/>
              </w:rPr>
              <w:t>00（㎜）</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套</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高*宽</w:t>
            </w: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14</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钢丝绳</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φ2</w:t>
            </w:r>
            <w:r>
              <w:rPr>
                <w:rFonts w:hint="eastAsia" w:ascii="宋体" w:hAnsi="宋体" w:eastAsia="宋体" w:cs="宋体"/>
                <w:sz w:val="28"/>
                <w:szCs w:val="28"/>
                <w:lang w:val="en-US" w:eastAsia="zh-CN"/>
              </w:rPr>
              <w:t>6</w:t>
            </w:r>
            <w:r>
              <w:rPr>
                <w:rFonts w:hint="eastAsia" w:ascii="宋体" w:hAnsi="宋体" w:eastAsia="宋体" w:cs="宋体"/>
                <w:sz w:val="28"/>
                <w:szCs w:val="28"/>
              </w:rPr>
              <w:t>－6×37</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米</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00</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15</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钢丝卡</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Φ28</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0</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16</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滑轮</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0.5t</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17</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缓冲器</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630*330（㎜）</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套</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包含螺栓、压板、地脚螺栓</w:t>
            </w: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18</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信号电缆</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M</w:t>
            </w:r>
            <w:r>
              <w:rPr>
                <w:rFonts w:hint="eastAsia" w:ascii="宋体" w:hAnsi="宋体" w:eastAsia="宋体" w:cs="宋体"/>
                <w:sz w:val="28"/>
                <w:szCs w:val="28"/>
                <w:lang w:val="en-US" w:eastAsia="zh-CN"/>
              </w:rPr>
              <w:t>HYV</w:t>
            </w:r>
            <w:r>
              <w:rPr>
                <w:rFonts w:hint="eastAsia" w:ascii="宋体" w:hAnsi="宋体" w:eastAsia="宋体" w:cs="宋体"/>
                <w:sz w:val="28"/>
                <w:szCs w:val="28"/>
              </w:rPr>
              <w:t>4*2*7/0.37</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米</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4</w:t>
            </w:r>
            <w:r>
              <w:rPr>
                <w:rFonts w:hint="eastAsia" w:ascii="宋体" w:hAnsi="宋体" w:eastAsia="宋体" w:cs="宋体"/>
                <w:sz w:val="28"/>
                <w:szCs w:val="28"/>
              </w:rPr>
              <w:t>00</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19</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本安型接线盒</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JHH-3</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w:t>
            </w:r>
          </w:p>
        </w:tc>
        <w:tc>
          <w:tcPr>
            <w:tcW w:w="22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气控终端</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PC12-04</w:t>
            </w:r>
          </w:p>
        </w:tc>
        <w:tc>
          <w:tcPr>
            <w:tcW w:w="7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个</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w:t>
            </w:r>
          </w:p>
        </w:tc>
        <w:tc>
          <w:tcPr>
            <w:tcW w:w="22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21</w:t>
            </w:r>
          </w:p>
        </w:tc>
        <w:tc>
          <w:tcPr>
            <w:tcW w:w="225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铜球阀</w:t>
            </w:r>
          </w:p>
        </w:tc>
        <w:tc>
          <w:tcPr>
            <w:tcW w:w="14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4分</w:t>
            </w:r>
          </w:p>
        </w:tc>
        <w:tc>
          <w:tcPr>
            <w:tcW w:w="76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个</w:t>
            </w:r>
          </w:p>
        </w:tc>
        <w:tc>
          <w:tcPr>
            <w:tcW w:w="79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p>
        </w:tc>
        <w:tc>
          <w:tcPr>
            <w:tcW w:w="224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宋体" w:hAnsi="宋体" w:eastAsia="宋体" w:cs="宋体"/>
                <w:sz w:val="28"/>
                <w:szCs w:val="28"/>
              </w:rPr>
            </w:pPr>
          </w:p>
        </w:tc>
      </w:tr>
      <w:tr>
        <w:tblPrEx>
          <w:tblCellMar>
            <w:top w:w="0" w:type="dxa"/>
            <w:left w:w="0" w:type="dxa"/>
            <w:bottom w:w="0" w:type="dxa"/>
            <w:right w:w="0" w:type="dxa"/>
          </w:tblCellMar>
        </w:tblPrEx>
        <w:trPr>
          <w:trHeight w:val="936"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矿用光缆</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MGTSV-4B1</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米</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800</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p>
        </w:tc>
      </w:tr>
      <w:tr>
        <w:tblPrEx>
          <w:tblCellMar>
            <w:top w:w="0" w:type="dxa"/>
            <w:left w:w="0" w:type="dxa"/>
            <w:bottom w:w="0" w:type="dxa"/>
            <w:right w:w="0" w:type="dxa"/>
          </w:tblCellMar>
        </w:tblPrEx>
        <w:trPr>
          <w:trHeight w:val="936"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矿用</w:t>
            </w:r>
            <w:r>
              <w:rPr>
                <w:rFonts w:hint="eastAsia" w:ascii="宋体" w:hAnsi="宋体" w:eastAsia="宋体" w:cs="宋体"/>
                <w:sz w:val="28"/>
                <w:szCs w:val="28"/>
                <w:lang w:val="en-US" w:eastAsia="zh-CN"/>
              </w:rPr>
              <w:t>隔爆</w:t>
            </w:r>
            <w:r>
              <w:rPr>
                <w:rFonts w:hint="eastAsia" w:ascii="宋体" w:hAnsi="宋体" w:eastAsia="宋体" w:cs="宋体"/>
                <w:sz w:val="28"/>
                <w:szCs w:val="28"/>
                <w:lang w:val="zh-CN" w:eastAsia="zh-CN"/>
              </w:rPr>
              <w:t>型摄像仪</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KBA127</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p>
        </w:tc>
      </w:tr>
      <w:tr>
        <w:tblPrEx>
          <w:tblCellMar>
            <w:top w:w="0" w:type="dxa"/>
            <w:left w:w="0" w:type="dxa"/>
            <w:bottom w:w="0" w:type="dxa"/>
            <w:right w:w="0" w:type="dxa"/>
          </w:tblCellMar>
        </w:tblPrEx>
        <w:trPr>
          <w:trHeight w:val="936"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矿用隔爆型显示一体机</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XB127</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22寸，含录像机/键盘</w:t>
            </w:r>
          </w:p>
        </w:tc>
      </w:tr>
      <w:tr>
        <w:tblPrEx>
          <w:tblCellMar>
            <w:top w:w="0" w:type="dxa"/>
            <w:left w:w="0" w:type="dxa"/>
            <w:bottom w:w="0" w:type="dxa"/>
            <w:right w:w="0" w:type="dxa"/>
          </w:tblCellMar>
        </w:tblPrEx>
        <w:trPr>
          <w:trHeight w:val="936"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25</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矿用本安型无线鼠标</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FHS1.5W</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个</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p>
        </w:tc>
      </w:tr>
      <w:tr>
        <w:tblPrEx>
          <w:tblCellMar>
            <w:top w:w="0" w:type="dxa"/>
            <w:left w:w="0" w:type="dxa"/>
            <w:bottom w:w="0" w:type="dxa"/>
            <w:right w:w="0" w:type="dxa"/>
          </w:tblCellMar>
        </w:tblPrEx>
        <w:trPr>
          <w:trHeight w:val="936"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26</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矿用光缆接线盒</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FHG4</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p>
        </w:tc>
      </w:tr>
      <w:tr>
        <w:tblPrEx>
          <w:tblCellMar>
            <w:top w:w="0" w:type="dxa"/>
            <w:left w:w="0" w:type="dxa"/>
            <w:bottom w:w="0" w:type="dxa"/>
            <w:right w:w="0" w:type="dxa"/>
          </w:tblCellMar>
        </w:tblPrEx>
        <w:trPr>
          <w:trHeight w:val="936" w:hRule="atLeast"/>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w:t>
            </w:r>
          </w:p>
        </w:tc>
        <w:tc>
          <w:tcPr>
            <w:tcW w:w="2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矿用光缆</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MGTSV-4B1</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米</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800</w:t>
            </w:r>
          </w:p>
        </w:tc>
        <w:tc>
          <w:tcPr>
            <w:tcW w:w="2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8"/>
                <w:szCs w:val="28"/>
                <w:lang w:val="en-US" w:eastAsia="zh-CN"/>
              </w:rPr>
            </w:pPr>
          </w:p>
        </w:tc>
      </w:tr>
    </w:tbl>
    <w:p>
      <w:pPr>
        <w:pageBreakBefore w:val="0"/>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b/>
          <w:bCs/>
          <w:sz w:val="28"/>
          <w:szCs w:val="28"/>
          <w:lang w:val="en-US" w:eastAsia="zh-CN"/>
        </w:rPr>
      </w:pPr>
    </w:p>
    <w:p>
      <w:pPr>
        <w:pStyle w:val="4"/>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六、附件</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1、每台设备配带专用工具1套。</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2、附带设备原值3%的随机配件。并提供价格构成明细清单，配件价格总和不高于主机价格1.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倍。</w:t>
      </w:r>
    </w:p>
    <w:p>
      <w:pPr>
        <w:pStyle w:val="4"/>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七、每台设备需配备技术资料数目</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1、装配图   6张     </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2、电路原理图       6张     </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3、使用说明书       6本     </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4、出厂试验报告     3份  </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5、生产许可证       3份</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6、产品合格证       3份</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7、防爆合格证       3份</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8、煤安标志         3份</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9、配件目录及价格表 3份</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10、说明书及其他相关证件电子版</w:t>
      </w:r>
    </w:p>
    <w:p>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八、技术服务及质保</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1、厂家免费负责现场安装及技术指导。</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2、产品质保期为</w:t>
      </w:r>
      <w:r>
        <w:rPr>
          <w:rFonts w:hint="eastAsia" w:ascii="宋体" w:hAnsi="宋体" w:eastAsia="宋体" w:cs="宋体"/>
          <w:sz w:val="28"/>
          <w:szCs w:val="28"/>
          <w:lang w:val="en-US" w:eastAsia="zh-CN"/>
        </w:rPr>
        <w:t>安装调试通过合格验收</w:t>
      </w:r>
      <w:r>
        <w:rPr>
          <w:rFonts w:hint="eastAsia" w:ascii="宋体" w:hAnsi="宋体" w:eastAsia="宋体" w:cs="宋体"/>
          <w:sz w:val="28"/>
          <w:szCs w:val="28"/>
        </w:rPr>
        <w:t>，</w:t>
      </w:r>
      <w:r>
        <w:rPr>
          <w:rFonts w:hint="eastAsia" w:ascii="宋体" w:hAnsi="宋体" w:eastAsia="宋体" w:cs="宋体"/>
          <w:sz w:val="28"/>
          <w:szCs w:val="28"/>
          <w:lang w:val="en-US" w:eastAsia="zh-CN"/>
        </w:rPr>
        <w:t>出具验收报告之日起一个日历年（特殊情况应另外说明）</w:t>
      </w:r>
      <w:r>
        <w:rPr>
          <w:rFonts w:hint="eastAsia" w:ascii="宋体" w:hAnsi="宋体" w:eastAsia="宋体" w:cs="宋体"/>
          <w:sz w:val="28"/>
          <w:szCs w:val="28"/>
        </w:rPr>
        <w:t>。</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3、设备在运行过程中出现技术故障和疑难问题时，厂方接到矿方的通知后需在24小时内到现场处理或提出处理意见。</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4、厂方长期提供产品配件和售后技术服务。</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5、厂方负责送货至矿方，双方共同验收或由矿方安装箱单验收。</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6、中标后签订技术协议，具体技术细节以技术协议为准。</w:t>
      </w:r>
    </w:p>
    <w:p>
      <w:pPr>
        <w:pageBreakBefore w:val="0"/>
        <w:kinsoku/>
        <w:wordWrap/>
        <w:overflowPunct/>
        <w:topLinePunct w:val="0"/>
        <w:autoSpaceDE/>
        <w:autoSpaceDN/>
        <w:bidi w:val="0"/>
        <w:adjustRightInd w:val="0"/>
        <w:snapToGrid w:val="0"/>
        <w:spacing w:line="360" w:lineRule="auto"/>
        <w:ind w:left="-139" w:leftChars="-66"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7、供货日期：到货日期要求2023年</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31日前</w:t>
      </w:r>
      <w:r>
        <w:rPr>
          <w:rFonts w:hint="eastAsia" w:ascii="宋体" w:hAnsi="宋体" w:eastAsia="宋体" w:cs="宋体"/>
          <w:color w:val="auto"/>
          <w:kern w:val="2"/>
          <w:sz w:val="28"/>
          <w:szCs w:val="28"/>
          <w:lang w:val="en-US" w:eastAsia="zh-CN" w:bidi="ar-SA"/>
        </w:rPr>
        <w:t>。</w:t>
      </w:r>
    </w:p>
    <w:p>
      <w:pPr>
        <w:pStyle w:val="7"/>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欢城煤矿联系方式：</w:t>
      </w:r>
      <w:r>
        <w:rPr>
          <w:rFonts w:hint="eastAsia" w:ascii="宋体" w:hAnsi="宋体" w:eastAsia="宋体" w:cs="宋体"/>
          <w:b/>
          <w:bCs/>
          <w:color w:val="auto"/>
          <w:sz w:val="28"/>
          <w:szCs w:val="28"/>
          <w:lang w:val="en-US" w:eastAsia="zh-CN"/>
        </w:rPr>
        <w:t xml:space="preserve"> </w:t>
      </w:r>
    </w:p>
    <w:p>
      <w:pPr>
        <w:pStyle w:val="7"/>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黄利国  13505378332   朱长善  13963798969   </w:t>
      </w:r>
    </w:p>
    <w:p>
      <w:pPr>
        <w:pStyle w:val="7"/>
        <w:pageBreakBefore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color w:val="auto"/>
          <w:sz w:val="28"/>
          <w:szCs w:val="28"/>
          <w:lang w:val="en-US" w:eastAsia="zh-CN"/>
        </w:rPr>
        <w:t>於德通   18253706390</w:t>
      </w:r>
    </w:p>
    <w:p>
      <w:pPr>
        <w:pStyle w:val="4"/>
        <w:rPr>
          <w:rFonts w:hint="eastAsia"/>
          <w:lang w:val="en-US" w:eastAsia="zh-CN"/>
        </w:rPr>
      </w:pPr>
    </w:p>
    <w:p>
      <w:pPr>
        <w:spacing w:line="180" w:lineRule="auto"/>
        <w:ind w:left="-139" w:leftChars="-66" w:firstLine="560" w:firstLineChars="200"/>
        <w:jc w:val="left"/>
        <w:rPr>
          <w:rFonts w:hint="default" w:ascii="宋体" w:hAns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Y2ZhNGNlMWEwYTNkYjE0NzEyY2UwMWRlZWI4MWIifQ=="/>
  </w:docVars>
  <w:rsids>
    <w:rsidRoot w:val="4DB32FEE"/>
    <w:rsid w:val="03436C5D"/>
    <w:rsid w:val="15432D89"/>
    <w:rsid w:val="2AE93469"/>
    <w:rsid w:val="4DB32FEE"/>
    <w:rsid w:val="5C4404D5"/>
    <w:rsid w:val="6F8E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outlineLvl w:val="1"/>
    </w:pPr>
    <w:rPr>
      <w:rFonts w:ascii="Arial" w:hAnsi="Arial" w:eastAsia="黑体"/>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ahoma" w:hAnsi="Tahoma"/>
      <w:b/>
      <w:kern w:val="0"/>
      <w:sz w:val="20"/>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2011</Words>
  <Characters>2285</Characters>
  <Lines>0</Lines>
  <Paragraphs>0</Paragraphs>
  <TotalTime>0</TotalTime>
  <ScaleCrop>false</ScaleCrop>
  <LinksUpToDate>false</LinksUpToDate>
  <CharactersWithSpaces>2399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2023-03-13T06:03:00Z</dcterms:created>
  <dc:creator>韖</dc:creator>
  <cp:lastModifiedBy>Administrator</cp:lastModifiedBy>
  <dcterms:modified xsi:type="dcterms:W3CDTF">2023-04-03T10:05:40Z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A0F12642662442B2895CB0AE0480630C_13</vt:lpwstr>
  </property>
</Properties>
</file>