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eastAsia"/>
          <w:b/>
          <w:bCs/>
          <w:sz w:val="32"/>
          <w:szCs w:val="32"/>
          <w:lang w:eastAsia="zh-CN"/>
        </w:rPr>
      </w:pPr>
      <w:bookmarkStart w:id="0" w:name="_Toc24766"/>
      <w:r>
        <w:rPr>
          <w:rFonts w:hint="eastAsia"/>
          <w:b/>
          <w:bCs/>
          <w:sz w:val="32"/>
          <w:szCs w:val="32"/>
          <w:lang w:eastAsia="zh-CN"/>
        </w:rPr>
        <w:t>欢城煤矿更换</w:t>
      </w:r>
      <w:r>
        <w:rPr>
          <w:rFonts w:hint="eastAsia"/>
          <w:b/>
          <w:bCs/>
          <w:sz w:val="32"/>
          <w:szCs w:val="32"/>
          <w:lang w:val="en-US" w:eastAsia="zh-CN"/>
        </w:rPr>
        <w:t>过卷（过放）防护缓冲托罐装置</w:t>
      </w:r>
      <w:r>
        <w:rPr>
          <w:rFonts w:hint="eastAsia"/>
          <w:b/>
          <w:bCs/>
          <w:sz w:val="32"/>
          <w:szCs w:val="32"/>
          <w:lang w:eastAsia="zh-CN"/>
        </w:rPr>
        <w:t>技术要求</w:t>
      </w:r>
    </w:p>
    <w:bookmarkEnd w:id="0"/>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b/>
          <w:bCs/>
          <w:sz w:val="28"/>
          <w:szCs w:val="28"/>
          <w:lang w:eastAsia="zh-CN"/>
        </w:rPr>
      </w:pPr>
      <w:bookmarkStart w:id="1" w:name="_Toc31643"/>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b/>
          <w:bCs/>
          <w:sz w:val="28"/>
          <w:szCs w:val="28"/>
        </w:rPr>
      </w:pPr>
      <w:r>
        <w:rPr>
          <w:rFonts w:hint="eastAsia"/>
          <w:b/>
          <w:bCs/>
          <w:sz w:val="28"/>
          <w:szCs w:val="28"/>
          <w:lang w:eastAsia="zh-CN"/>
        </w:rPr>
        <w:t>一、</w:t>
      </w:r>
      <w:r>
        <w:rPr>
          <w:rFonts w:hint="eastAsia"/>
          <w:b/>
          <w:bCs/>
          <w:sz w:val="28"/>
          <w:szCs w:val="28"/>
        </w:rPr>
        <w:t>施工概况</w:t>
      </w:r>
      <w:bookmarkEnd w:id="1"/>
    </w:p>
    <w:p>
      <w:pPr>
        <w:pStyle w:val="10"/>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b w:val="0"/>
          <w:bCs w:val="0"/>
          <w:sz w:val="28"/>
          <w:szCs w:val="28"/>
          <w:lang w:val="en-US" w:eastAsia="zh-CN"/>
        </w:rPr>
      </w:pPr>
      <w:bookmarkStart w:id="2" w:name="_Toc18195"/>
      <w:r>
        <w:rPr>
          <w:rFonts w:hint="eastAsia" w:ascii="宋体" w:hAnsi="宋体" w:eastAsia="宋体" w:cs="宋体"/>
          <w:b w:val="0"/>
          <w:bCs w:val="0"/>
          <w:sz w:val="28"/>
          <w:szCs w:val="28"/>
          <w:lang w:val="en-US" w:eastAsia="zh-CN"/>
        </w:rPr>
        <w:t>山东省微山湖矿业集团有限公司</w:t>
      </w:r>
      <w:r>
        <w:rPr>
          <w:rFonts w:hint="eastAsia" w:hAnsi="宋体" w:cs="宋体"/>
          <w:sz w:val="28"/>
          <w:szCs w:val="28"/>
          <w:lang w:val="en-US" w:eastAsia="zh-CN"/>
        </w:rPr>
        <w:t>欢城</w:t>
      </w:r>
      <w:r>
        <w:rPr>
          <w:rFonts w:hint="eastAsia" w:ascii="宋体" w:hAnsi="宋体" w:eastAsia="宋体" w:cs="宋体"/>
          <w:sz w:val="28"/>
          <w:szCs w:val="28"/>
        </w:rPr>
        <w:t>煤矿现使用罐笼为双层四车（1吨矿车）罐笼，</w:t>
      </w:r>
      <w:r>
        <w:rPr>
          <w:rFonts w:hint="eastAsia" w:hAnsi="宋体" w:cs="宋体"/>
          <w:sz w:val="28"/>
          <w:szCs w:val="28"/>
          <w:lang w:val="en-US" w:eastAsia="zh-CN"/>
        </w:rPr>
        <w:t>主提升钢丝绳6Vx34+SF-28,平衡绳为34x7+FC-φ40型钢丝绳，主滚筒直接2.8m。天轮直径2.8m，最大载重量30t，采用罐笼规格型号为：GDG1/6/2/4(k),</w:t>
      </w:r>
      <w:r>
        <w:rPr>
          <w:rFonts w:hint="eastAsia" w:ascii="宋体" w:hAnsi="宋体" w:eastAsia="宋体" w:cs="宋体"/>
          <w:sz w:val="28"/>
          <w:szCs w:val="28"/>
        </w:rPr>
        <w:t>分大小罐一宽一窄</w:t>
      </w:r>
      <w:r>
        <w:rPr>
          <w:rFonts w:hint="eastAsia" w:hAnsi="宋体" w:cs="宋体"/>
          <w:sz w:val="28"/>
          <w:szCs w:val="28"/>
          <w:lang w:val="en-US" w:eastAsia="zh-CN"/>
        </w:rPr>
        <w:t>,最大运行速度8.2m/s</w:t>
      </w:r>
      <w:r>
        <w:rPr>
          <w:rFonts w:hint="eastAsia" w:ascii="宋体" w:hAnsi="宋体" w:eastAsia="宋体" w:cs="宋体"/>
          <w:sz w:val="28"/>
          <w:szCs w:val="28"/>
          <w:lang w:eastAsia="zh-CN"/>
        </w:rPr>
        <w:t>。</w:t>
      </w:r>
      <w:r>
        <w:rPr>
          <w:rFonts w:hint="eastAsia" w:ascii="宋体" w:hAnsi="宋体" w:eastAsia="宋体" w:cs="宋体"/>
          <w:b w:val="0"/>
          <w:bCs w:val="0"/>
          <w:sz w:val="28"/>
          <w:szCs w:val="28"/>
          <w:lang w:eastAsia="zh-CN"/>
        </w:rPr>
        <w:t>主井提升高度</w:t>
      </w:r>
      <w:r>
        <w:rPr>
          <w:rFonts w:hint="eastAsia" w:ascii="宋体" w:hAnsi="宋体" w:eastAsia="宋体" w:cs="宋体"/>
          <w:b w:val="0"/>
          <w:bCs w:val="0"/>
          <w:sz w:val="28"/>
          <w:szCs w:val="28"/>
          <w:lang w:val="en-US" w:eastAsia="zh-CN"/>
        </w:rPr>
        <w:t>441米，</w:t>
      </w:r>
      <w:r>
        <w:rPr>
          <w:rFonts w:hint="eastAsia" w:ascii="宋体" w:hAnsi="宋体" w:eastAsia="宋体" w:cs="宋体"/>
          <w:color w:val="000000"/>
          <w:sz w:val="28"/>
          <w:szCs w:val="28"/>
        </w:rPr>
        <w:t>井筒直径</w:t>
      </w:r>
      <w:r>
        <w:rPr>
          <w:rFonts w:hint="eastAsia" w:hAnsi="宋体" w:cs="宋体"/>
          <w:color w:val="000000"/>
          <w:sz w:val="28"/>
          <w:szCs w:val="28"/>
          <w:lang w:val="en-US" w:eastAsia="zh-CN"/>
        </w:rPr>
        <w:t>6</w:t>
      </w:r>
      <w:r>
        <w:rPr>
          <w:rFonts w:hint="eastAsia" w:ascii="宋体" w:hAnsi="宋体" w:eastAsia="宋体" w:cs="宋体"/>
          <w:color w:val="000000"/>
          <w:sz w:val="28"/>
          <w:szCs w:val="28"/>
        </w:rPr>
        <w:t>m，</w:t>
      </w:r>
      <w:r>
        <w:rPr>
          <w:rFonts w:hint="eastAsia" w:ascii="宋体" w:hAnsi="宋体" w:eastAsia="宋体" w:cs="宋体"/>
          <w:color w:val="000000"/>
          <w:sz w:val="28"/>
          <w:szCs w:val="28"/>
          <w:lang w:val="en-US" w:eastAsia="zh-CN"/>
        </w:rPr>
        <w:t>方钢</w:t>
      </w:r>
      <w:r>
        <w:rPr>
          <w:rFonts w:hint="eastAsia" w:ascii="宋体" w:hAnsi="宋体" w:eastAsia="宋体" w:cs="宋体"/>
          <w:color w:val="000000"/>
          <w:sz w:val="28"/>
          <w:szCs w:val="28"/>
        </w:rPr>
        <w:t xml:space="preserve">罐道； </w:t>
      </w:r>
      <w:r>
        <w:rPr>
          <w:rFonts w:hint="eastAsia" w:ascii="宋体" w:hAnsi="宋体" w:eastAsia="宋体" w:cs="宋体"/>
          <w:color w:val="000000"/>
          <w:sz w:val="28"/>
          <w:szCs w:val="28"/>
          <w:lang w:val="en-US" w:eastAsia="zh-CN"/>
        </w:rPr>
        <w:t>提升机为：</w:t>
      </w:r>
      <w:r>
        <w:rPr>
          <w:rFonts w:hint="eastAsia" w:ascii="宋体" w:hAnsi="宋体" w:eastAsia="宋体" w:cs="宋体"/>
          <w:color w:val="000000"/>
          <w:sz w:val="28"/>
          <w:szCs w:val="28"/>
        </w:rPr>
        <w:t>JKMD-</w:t>
      </w:r>
      <w:r>
        <w:rPr>
          <w:rFonts w:hint="eastAsia" w:hAnsi="宋体" w:cs="宋体"/>
          <w:color w:val="000000"/>
          <w:sz w:val="28"/>
          <w:szCs w:val="28"/>
          <w:lang w:val="en-US" w:eastAsia="zh-CN"/>
        </w:rPr>
        <w:t>2.8*</w:t>
      </w:r>
      <w:r>
        <w:rPr>
          <w:rFonts w:hint="eastAsia" w:ascii="宋体" w:hAnsi="宋体" w:eastAsia="宋体" w:cs="宋体"/>
          <w:color w:val="000000"/>
          <w:sz w:val="28"/>
          <w:szCs w:val="28"/>
        </w:rPr>
        <w:t>4</w:t>
      </w:r>
      <w:r>
        <w:rPr>
          <w:rFonts w:hint="eastAsia" w:hAnsi="宋体" w:cs="宋体"/>
          <w:color w:val="000000"/>
          <w:sz w:val="28"/>
          <w:szCs w:val="28"/>
          <w:lang w:eastAsia="zh-CN"/>
        </w:rPr>
        <w:t>（</w:t>
      </w:r>
      <w:r>
        <w:rPr>
          <w:rFonts w:hint="eastAsia" w:hAnsi="宋体" w:cs="宋体"/>
          <w:color w:val="000000"/>
          <w:sz w:val="28"/>
          <w:szCs w:val="28"/>
          <w:lang w:val="en-US" w:eastAsia="zh-CN"/>
        </w:rPr>
        <w:t>1</w:t>
      </w:r>
      <w:r>
        <w:rPr>
          <w:rFonts w:hint="eastAsia" w:hAnsi="宋体" w:cs="宋体"/>
          <w:color w:val="000000"/>
          <w:sz w:val="28"/>
          <w:szCs w:val="28"/>
          <w:lang w:eastAsia="zh-CN"/>
        </w:rPr>
        <w:t>）</w:t>
      </w:r>
      <w:r>
        <w:rPr>
          <w:rFonts w:hint="eastAsia" w:ascii="宋体" w:hAnsi="宋体" w:eastAsia="宋体" w:cs="宋体"/>
          <w:color w:val="000000"/>
          <w:sz w:val="28"/>
          <w:szCs w:val="28"/>
        </w:rPr>
        <w:t>落地</w:t>
      </w:r>
      <w:r>
        <w:rPr>
          <w:rFonts w:hint="eastAsia" w:hAnsi="宋体" w:cs="宋体"/>
          <w:color w:val="000000"/>
          <w:sz w:val="28"/>
          <w:szCs w:val="28"/>
          <w:lang w:val="en-US" w:eastAsia="zh-CN"/>
        </w:rPr>
        <w:t>式</w:t>
      </w:r>
      <w:r>
        <w:rPr>
          <w:rFonts w:hint="eastAsia" w:ascii="宋体" w:hAnsi="宋体" w:eastAsia="宋体" w:cs="宋体"/>
          <w:color w:val="000000"/>
          <w:sz w:val="28"/>
          <w:szCs w:val="28"/>
        </w:rPr>
        <w:t>四绳摩擦式提升机</w:t>
      </w:r>
      <w:r>
        <w:rPr>
          <w:rFonts w:hint="eastAsia" w:hAnsi="宋体" w:cs="宋体"/>
          <w:color w:val="000000"/>
          <w:sz w:val="28"/>
          <w:szCs w:val="28"/>
          <w:lang w:eastAsia="zh-CN"/>
        </w:rPr>
        <w:t>。</w:t>
      </w:r>
      <w:r>
        <w:rPr>
          <w:rFonts w:hint="eastAsia" w:ascii="宋体" w:hAnsi="宋体" w:eastAsia="宋体" w:cs="宋体"/>
          <w:b w:val="0"/>
          <w:bCs w:val="0"/>
          <w:sz w:val="28"/>
          <w:szCs w:val="28"/>
          <w:lang w:val="en-US" w:eastAsia="zh-CN"/>
        </w:rPr>
        <w:t>根据《煤矿安全规程》第396条规定：“在提升速度大于3m/s的提升系统内，必须设防撞梁和托罐装置，防撞梁不得兼作他用。防撞梁必须能够挡住过卷后上升的容器和平衡锤；托罐装置必须能够将撞击防撞梁后再下落的容器或配重托住，并保证其下落的距离不超过 0.5m</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《煤矿安全规程》</w:t>
      </w:r>
      <w:r>
        <w:rPr>
          <w:rFonts w:hint="eastAsia" w:ascii="宋体" w:hAnsi="宋体" w:eastAsia="宋体" w:cs="宋体"/>
          <w:sz w:val="28"/>
          <w:szCs w:val="28"/>
        </w:rPr>
        <w:t>（20</w:t>
      </w:r>
      <w:r>
        <w:rPr>
          <w:rFonts w:hint="eastAsia" w:ascii="宋体" w:hAnsi="宋体" w:cs="宋体"/>
          <w:sz w:val="28"/>
          <w:szCs w:val="28"/>
          <w:lang w:val="en-US" w:eastAsia="zh-CN"/>
        </w:rPr>
        <w:t>22</w:t>
      </w:r>
      <w:r>
        <w:rPr>
          <w:rFonts w:hint="eastAsia" w:ascii="宋体" w:hAnsi="宋体" w:eastAsia="宋体" w:cs="宋体"/>
          <w:sz w:val="28"/>
          <w:szCs w:val="28"/>
        </w:rPr>
        <w:t>版）</w:t>
      </w:r>
      <w:r>
        <w:rPr>
          <w:rFonts w:hint="eastAsia" w:ascii="宋体" w:hAnsi="宋体" w:eastAsia="宋体" w:cs="宋体"/>
          <w:b w:val="0"/>
          <w:bCs w:val="0"/>
          <w:sz w:val="28"/>
          <w:szCs w:val="28"/>
          <w:lang w:val="en-US" w:eastAsia="zh-CN"/>
        </w:rPr>
        <w:t>第</w:t>
      </w:r>
      <w:bookmarkStart w:id="6" w:name="_GoBack"/>
      <w:r>
        <w:rPr>
          <w:rFonts w:hint="eastAsia" w:ascii="宋体" w:hAnsi="宋体" w:cs="宋体"/>
          <w:b w:val="0"/>
          <w:bCs w:val="0"/>
          <w:color w:val="auto"/>
          <w:sz w:val="28"/>
          <w:szCs w:val="28"/>
          <w:lang w:val="en-US" w:eastAsia="zh-CN"/>
        </w:rPr>
        <w:t>406、407</w:t>
      </w:r>
      <w:bookmarkEnd w:id="6"/>
      <w:r>
        <w:rPr>
          <w:rFonts w:hint="eastAsia" w:ascii="宋体" w:hAnsi="宋体" w:eastAsia="宋体" w:cs="宋体"/>
          <w:b w:val="0"/>
          <w:bCs w:val="0"/>
          <w:sz w:val="28"/>
          <w:szCs w:val="28"/>
          <w:lang w:val="en-US" w:eastAsia="zh-CN"/>
        </w:rPr>
        <w:t>条规定：“在提升速度大于3m/s的提升系统内，必须设防撞梁和托罐装置。防撞梁必须能够挡住过卷后上升的容器或者平衡锤，并不得兼作他用；托罐装置必须能够将撞击防撞梁后再下落的容器或者配重托住， 并保证其下落的距离不超过0.5m。</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立井提升装置的过卷和过放应当符合下列要求：</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(一)罐笼和箕斗提升，过卷和过放距离不得小于表8所列数值。</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(二)在过卷和过放距离内，应当安设性能可靠的缓冲装置。缓冲装置应当能将全速过卷(过放)的容器或者平衡锤平稳地停住，并保证不再反向下滑或者反弹。</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(三)过放距离内不得积水和堆积杂物。</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(四)缓冲托罐装置必须每年至少进行1次检查和保养。</w:t>
      </w: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表8　立井提升装置的过卷和过放距离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260"/>
        <w:gridCol w:w="1260"/>
        <w:gridCol w:w="1260"/>
        <w:gridCol w:w="126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提升速度/(m􀅰s-1)</w:t>
            </w:r>
          </w:p>
        </w:tc>
        <w:tc>
          <w:tcPr>
            <w:tcW w:w="1260"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p>
        </w:tc>
        <w:tc>
          <w:tcPr>
            <w:tcW w:w="1260"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p>
        </w:tc>
        <w:tc>
          <w:tcPr>
            <w:tcW w:w="1260"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w:t>
            </w:r>
          </w:p>
        </w:tc>
        <w:tc>
          <w:tcPr>
            <w:tcW w:w="1260"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w:t>
            </w:r>
          </w:p>
        </w:tc>
        <w:tc>
          <w:tcPr>
            <w:tcW w:w="1302"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过卷、过放距离/m</w:t>
            </w:r>
          </w:p>
        </w:tc>
        <w:tc>
          <w:tcPr>
            <w:tcW w:w="1260"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4.0</w:t>
            </w:r>
          </w:p>
        </w:tc>
        <w:tc>
          <w:tcPr>
            <w:tcW w:w="1260"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4.75</w:t>
            </w:r>
          </w:p>
        </w:tc>
        <w:tc>
          <w:tcPr>
            <w:tcW w:w="1260"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6.5</w:t>
            </w:r>
          </w:p>
        </w:tc>
        <w:tc>
          <w:tcPr>
            <w:tcW w:w="1260"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8.25</w:t>
            </w:r>
          </w:p>
        </w:tc>
        <w:tc>
          <w:tcPr>
            <w:tcW w:w="1302" w:type="dxa"/>
            <w:noWrap w:val="0"/>
            <w:vAlign w:val="top"/>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≥10.0</w:t>
            </w:r>
          </w:p>
        </w:tc>
      </w:tr>
    </w:tbl>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·提升速度为表8中所列速度的中间值时，用插值法计算。”</w:t>
      </w:r>
    </w:p>
    <w:p>
      <w:pPr>
        <w:ind w:firstLine="560" w:firstLineChars="200"/>
        <w:jc w:val="both"/>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 xml:space="preserve"> HGJ系列过卷防护缓冲托罐装置主要用来解决立井提升系统中的容器过卷事故发生时, 避免伤害人员和容器撞击防撞梁后平稳托罐及避免或减少井筒中的其他装备被损坏等问题， 既可用于缠绕式提升机，又可用于摩擦式提升机。以满足《煤矿安全规程》</w:t>
      </w:r>
      <w:r>
        <w:rPr>
          <w:rFonts w:hint="eastAsia" w:ascii="宋体" w:hAnsi="宋体" w:eastAsia="宋体" w:cs="宋体"/>
          <w:sz w:val="28"/>
          <w:szCs w:val="28"/>
        </w:rPr>
        <w:t>（20</w:t>
      </w:r>
      <w:r>
        <w:rPr>
          <w:rFonts w:hint="eastAsia" w:ascii="宋体" w:hAnsi="宋体" w:cs="宋体"/>
          <w:sz w:val="28"/>
          <w:szCs w:val="28"/>
          <w:lang w:val="en-US" w:eastAsia="zh-CN"/>
        </w:rPr>
        <w:t>22</w:t>
      </w:r>
      <w:r>
        <w:rPr>
          <w:rFonts w:hint="eastAsia" w:ascii="宋体" w:hAnsi="宋体" w:eastAsia="宋体" w:cs="宋体"/>
          <w:sz w:val="28"/>
          <w:szCs w:val="28"/>
        </w:rPr>
        <w:t>版）</w:t>
      </w:r>
      <w:r>
        <w:rPr>
          <w:rFonts w:hint="eastAsia" w:ascii="宋体" w:hAnsi="宋体" w:eastAsia="宋体" w:cs="宋体"/>
          <w:b w:val="0"/>
          <w:bCs w:val="0"/>
          <w:sz w:val="28"/>
          <w:szCs w:val="28"/>
          <w:lang w:val="en-US" w:eastAsia="zh-CN"/>
        </w:rPr>
        <w:t>第</w:t>
      </w:r>
      <w:r>
        <w:rPr>
          <w:rFonts w:hint="eastAsia" w:ascii="宋体" w:hAnsi="宋体" w:cs="宋体"/>
          <w:b w:val="0"/>
          <w:bCs w:val="0"/>
          <w:sz w:val="28"/>
          <w:szCs w:val="28"/>
          <w:lang w:val="en-US" w:eastAsia="zh-CN"/>
        </w:rPr>
        <w:t>406</w:t>
      </w:r>
      <w:r>
        <w:rPr>
          <w:rFonts w:hint="eastAsia" w:ascii="宋体" w:hAnsi="宋体" w:eastAsia="宋体" w:cs="宋体"/>
          <w:b w:val="0"/>
          <w:bCs w:val="0"/>
          <w:sz w:val="28"/>
          <w:szCs w:val="28"/>
          <w:lang w:val="en-US" w:eastAsia="zh-CN"/>
        </w:rPr>
        <w:t xml:space="preserve">条、第 </w:t>
      </w:r>
      <w:r>
        <w:rPr>
          <w:rFonts w:hint="eastAsia" w:ascii="宋体" w:hAnsi="宋体" w:cs="宋体"/>
          <w:b w:val="0"/>
          <w:bCs w:val="0"/>
          <w:sz w:val="28"/>
          <w:szCs w:val="28"/>
          <w:lang w:val="en-US" w:eastAsia="zh-CN"/>
        </w:rPr>
        <w:t>40</w:t>
      </w:r>
      <w:r>
        <w:rPr>
          <w:rFonts w:hint="eastAsia" w:ascii="宋体" w:hAnsi="宋体" w:eastAsia="宋体" w:cs="宋体"/>
          <w:b w:val="0"/>
          <w:bCs w:val="0"/>
          <w:sz w:val="28"/>
          <w:szCs w:val="28"/>
          <w:lang w:val="en-US" w:eastAsia="zh-CN"/>
        </w:rPr>
        <w:t>7条规定要求。</w:t>
      </w:r>
      <w:r>
        <w:rPr>
          <w:rFonts w:hint="eastAsia" w:ascii="宋体" w:hAnsi="宋体"/>
          <w:b w:val="0"/>
          <w:bCs w:val="0"/>
          <w:sz w:val="28"/>
          <w:szCs w:val="28"/>
          <w:lang w:val="en-US" w:eastAsia="zh-CN"/>
        </w:rPr>
        <w:t>现委托有资质公司将合理使用</w:t>
      </w:r>
      <w:r>
        <w:rPr>
          <w:rFonts w:hint="eastAsia" w:ascii="宋体" w:hAnsi="宋体"/>
          <w:b w:val="0"/>
          <w:bCs w:val="0"/>
          <w:sz w:val="28"/>
          <w:szCs w:val="28"/>
          <w:lang w:val="en-US" w:eastAsia="zh-CN"/>
        </w:rPr>
        <w:fldChar w:fldCharType="begin"/>
      </w:r>
      <w:r>
        <w:rPr>
          <w:rFonts w:hint="eastAsia" w:ascii="宋体" w:hAnsi="宋体"/>
          <w:b w:val="0"/>
          <w:bCs w:val="0"/>
          <w:sz w:val="28"/>
          <w:szCs w:val="28"/>
          <w:lang w:val="en-US" w:eastAsia="zh-CN"/>
        </w:rPr>
        <w:instrText xml:space="preserve"> HYPERLINK "http://www.so.com/s?q=%E5%B7%A5%E7%A8%8B%E6%9D%90%E6%96%99&amp;ie=utf-8&amp;src=internal_wenda_recommend_textn" \t "https://wenda.so.com/q/_blank" </w:instrText>
      </w:r>
      <w:r>
        <w:rPr>
          <w:rFonts w:hint="eastAsia" w:ascii="宋体" w:hAnsi="宋体"/>
          <w:b w:val="0"/>
          <w:bCs w:val="0"/>
          <w:sz w:val="28"/>
          <w:szCs w:val="28"/>
          <w:lang w:val="en-US" w:eastAsia="zh-CN"/>
        </w:rPr>
        <w:fldChar w:fldCharType="separate"/>
      </w:r>
      <w:r>
        <w:rPr>
          <w:rFonts w:hint="eastAsia" w:ascii="宋体" w:hAnsi="宋体"/>
          <w:b w:val="0"/>
          <w:bCs w:val="0"/>
          <w:sz w:val="28"/>
          <w:szCs w:val="28"/>
          <w:lang w:val="en-US" w:eastAsia="zh-CN"/>
        </w:rPr>
        <w:t>工程材料</w:t>
      </w:r>
      <w:r>
        <w:rPr>
          <w:rFonts w:hint="eastAsia" w:ascii="宋体" w:hAnsi="宋体"/>
          <w:b w:val="0"/>
          <w:bCs w:val="0"/>
          <w:sz w:val="28"/>
          <w:szCs w:val="28"/>
          <w:lang w:val="en-US" w:eastAsia="zh-CN"/>
        </w:rPr>
        <w:fldChar w:fldCharType="end"/>
      </w:r>
      <w:r>
        <w:rPr>
          <w:rFonts w:hint="eastAsia" w:ascii="宋体" w:hAnsi="宋体"/>
          <w:b w:val="0"/>
          <w:bCs w:val="0"/>
          <w:sz w:val="28"/>
          <w:szCs w:val="28"/>
          <w:lang w:val="en-US" w:eastAsia="zh-CN"/>
        </w:rPr>
        <w:t>,确保</w:t>
      </w:r>
      <w:r>
        <w:rPr>
          <w:rFonts w:hint="eastAsia" w:ascii="宋体" w:hAnsi="宋体"/>
          <w:b w:val="0"/>
          <w:bCs w:val="0"/>
          <w:sz w:val="28"/>
          <w:szCs w:val="28"/>
          <w:lang w:val="en-US" w:eastAsia="zh-CN"/>
        </w:rPr>
        <w:fldChar w:fldCharType="begin"/>
      </w:r>
      <w:r>
        <w:rPr>
          <w:rFonts w:hint="eastAsia" w:ascii="宋体" w:hAnsi="宋体"/>
          <w:b w:val="0"/>
          <w:bCs w:val="0"/>
          <w:sz w:val="28"/>
          <w:szCs w:val="28"/>
          <w:lang w:val="en-US" w:eastAsia="zh-CN"/>
        </w:rPr>
        <w:instrText xml:space="preserve"> HYPERLINK "http://www.so.com/s?q=%E5%B7%A5%E7%A8%8B%E8%B4%A8%E9%87%8F&amp;ie=utf-8&amp;src=internal_wenda_recommend_textn" \t "https://wenda.so.com/q/_blank" </w:instrText>
      </w:r>
      <w:r>
        <w:rPr>
          <w:rFonts w:hint="eastAsia" w:ascii="宋体" w:hAnsi="宋体"/>
          <w:b w:val="0"/>
          <w:bCs w:val="0"/>
          <w:sz w:val="28"/>
          <w:szCs w:val="28"/>
          <w:lang w:val="en-US" w:eastAsia="zh-CN"/>
        </w:rPr>
        <w:fldChar w:fldCharType="separate"/>
      </w:r>
      <w:r>
        <w:rPr>
          <w:rFonts w:hint="eastAsia" w:ascii="宋体" w:hAnsi="宋体"/>
          <w:b w:val="0"/>
          <w:bCs w:val="0"/>
          <w:sz w:val="28"/>
          <w:szCs w:val="28"/>
          <w:lang w:val="en-US" w:eastAsia="zh-CN"/>
        </w:rPr>
        <w:t>工程质量</w:t>
      </w:r>
      <w:r>
        <w:rPr>
          <w:rFonts w:hint="eastAsia" w:ascii="宋体" w:hAnsi="宋体"/>
          <w:b w:val="0"/>
          <w:bCs w:val="0"/>
          <w:sz w:val="28"/>
          <w:szCs w:val="28"/>
          <w:lang w:val="en-US" w:eastAsia="zh-CN"/>
        </w:rPr>
        <w:fldChar w:fldCharType="end"/>
      </w:r>
      <w:r>
        <w:rPr>
          <w:rFonts w:hint="eastAsia" w:ascii="宋体" w:hAnsi="宋体"/>
          <w:b w:val="0"/>
          <w:bCs w:val="0"/>
          <w:sz w:val="28"/>
          <w:szCs w:val="28"/>
          <w:lang w:val="en-US" w:eastAsia="zh-CN"/>
        </w:rPr>
        <w:t>达到合同要求的</w:t>
      </w:r>
      <w:r>
        <w:rPr>
          <w:rFonts w:hint="eastAsia" w:ascii="宋体" w:hAnsi="宋体"/>
          <w:b w:val="0"/>
          <w:bCs w:val="0"/>
          <w:sz w:val="28"/>
          <w:szCs w:val="28"/>
          <w:lang w:val="en-US" w:eastAsia="zh-CN"/>
        </w:rPr>
        <w:fldChar w:fldCharType="begin"/>
      </w:r>
      <w:r>
        <w:rPr>
          <w:rFonts w:hint="eastAsia" w:ascii="宋体" w:hAnsi="宋体"/>
          <w:b w:val="0"/>
          <w:bCs w:val="0"/>
          <w:sz w:val="28"/>
          <w:szCs w:val="28"/>
          <w:lang w:val="en-US" w:eastAsia="zh-CN"/>
        </w:rPr>
        <w:instrText xml:space="preserve"> HYPERLINK "http://www.so.com/s?q=%E6%A0%87%E5%87%86&amp;ie=utf-8&amp;src=internal_wenda_recommend_textn" \t "https://wenda.so.com/q/_blank" </w:instrText>
      </w:r>
      <w:r>
        <w:rPr>
          <w:rFonts w:hint="eastAsia" w:ascii="宋体" w:hAnsi="宋体"/>
          <w:b w:val="0"/>
          <w:bCs w:val="0"/>
          <w:sz w:val="28"/>
          <w:szCs w:val="28"/>
          <w:lang w:val="en-US" w:eastAsia="zh-CN"/>
        </w:rPr>
        <w:fldChar w:fldCharType="separate"/>
      </w:r>
      <w:r>
        <w:rPr>
          <w:rFonts w:hint="eastAsia" w:ascii="宋体" w:hAnsi="宋体"/>
          <w:b w:val="0"/>
          <w:bCs w:val="0"/>
          <w:sz w:val="28"/>
          <w:szCs w:val="28"/>
          <w:lang w:val="en-US" w:eastAsia="zh-CN"/>
        </w:rPr>
        <w:t>标准</w:t>
      </w:r>
      <w:r>
        <w:rPr>
          <w:rFonts w:hint="eastAsia" w:ascii="宋体" w:hAnsi="宋体"/>
          <w:b w:val="0"/>
          <w:bCs w:val="0"/>
          <w:sz w:val="28"/>
          <w:szCs w:val="28"/>
          <w:lang w:val="en-US" w:eastAsia="zh-CN"/>
        </w:rPr>
        <w:fldChar w:fldCharType="end"/>
      </w:r>
      <w:r>
        <w:rPr>
          <w:rFonts w:hint="eastAsia" w:ascii="宋体" w:hAnsi="宋体"/>
          <w:b w:val="0"/>
          <w:bCs w:val="0"/>
          <w:sz w:val="28"/>
          <w:szCs w:val="28"/>
          <w:lang w:val="en-US" w:eastAsia="zh-CN"/>
        </w:rPr>
        <w:t>.同时在约定的</w:t>
      </w:r>
      <w:r>
        <w:rPr>
          <w:rFonts w:hint="eastAsia" w:ascii="宋体" w:hAnsi="宋体"/>
          <w:b w:val="0"/>
          <w:bCs w:val="0"/>
          <w:sz w:val="28"/>
          <w:szCs w:val="28"/>
          <w:lang w:val="en-US" w:eastAsia="zh-CN"/>
        </w:rPr>
        <w:fldChar w:fldCharType="begin"/>
      </w:r>
      <w:r>
        <w:rPr>
          <w:rFonts w:hint="eastAsia" w:ascii="宋体" w:hAnsi="宋体"/>
          <w:b w:val="0"/>
          <w:bCs w:val="0"/>
          <w:sz w:val="28"/>
          <w:szCs w:val="28"/>
          <w:lang w:val="en-US" w:eastAsia="zh-CN"/>
        </w:rPr>
        <w:instrText xml:space="preserve"> HYPERLINK "http://www.so.com/s?q=%E6%9C%9F%E9%99%90&amp;ie=utf-8&amp;src=internal_wenda_recommend_textn" \t "https://wenda.so.com/q/_blank" </w:instrText>
      </w:r>
      <w:r>
        <w:rPr>
          <w:rFonts w:hint="eastAsia" w:ascii="宋体" w:hAnsi="宋体"/>
          <w:b w:val="0"/>
          <w:bCs w:val="0"/>
          <w:sz w:val="28"/>
          <w:szCs w:val="28"/>
          <w:lang w:val="en-US" w:eastAsia="zh-CN"/>
        </w:rPr>
        <w:fldChar w:fldCharType="separate"/>
      </w:r>
      <w:r>
        <w:rPr>
          <w:rFonts w:hint="eastAsia" w:ascii="宋体" w:hAnsi="宋体"/>
          <w:b w:val="0"/>
          <w:bCs w:val="0"/>
          <w:sz w:val="28"/>
          <w:szCs w:val="28"/>
          <w:lang w:val="en-US" w:eastAsia="zh-CN"/>
        </w:rPr>
        <w:t>期限</w:t>
      </w:r>
      <w:r>
        <w:rPr>
          <w:rFonts w:hint="eastAsia" w:ascii="宋体" w:hAnsi="宋体"/>
          <w:b w:val="0"/>
          <w:bCs w:val="0"/>
          <w:sz w:val="28"/>
          <w:szCs w:val="28"/>
          <w:lang w:val="en-US" w:eastAsia="zh-CN"/>
        </w:rPr>
        <w:fldChar w:fldCharType="end"/>
      </w:r>
      <w:r>
        <w:rPr>
          <w:rFonts w:hint="eastAsia" w:ascii="宋体" w:hAnsi="宋体"/>
          <w:b w:val="0"/>
          <w:bCs w:val="0"/>
          <w:sz w:val="28"/>
          <w:szCs w:val="28"/>
          <w:lang w:val="en-US" w:eastAsia="zh-CN"/>
        </w:rPr>
        <w:t>内完成施工任务。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b/>
          <w:bCs/>
          <w:sz w:val="28"/>
          <w:szCs w:val="28"/>
        </w:rPr>
      </w:pPr>
      <w:r>
        <w:rPr>
          <w:rFonts w:hint="eastAsia"/>
          <w:b/>
          <w:bCs/>
          <w:sz w:val="28"/>
          <w:szCs w:val="28"/>
        </w:rPr>
        <w:t>二、施工地点</w:t>
      </w:r>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eastAsia="宋体"/>
          <w:sz w:val="28"/>
          <w:szCs w:val="28"/>
          <w:lang w:eastAsia="zh-CN"/>
        </w:rPr>
      </w:pPr>
      <w:r>
        <w:rPr>
          <w:rFonts w:hint="eastAsia"/>
          <w:sz w:val="28"/>
          <w:szCs w:val="28"/>
        </w:rPr>
        <w:t>施工地点：</w:t>
      </w:r>
      <w:r>
        <w:rPr>
          <w:rFonts w:hint="eastAsia" w:ascii="宋体" w:hAnsi="宋体"/>
          <w:sz w:val="28"/>
          <w:szCs w:val="28"/>
        </w:rPr>
        <w:t>山东</w:t>
      </w:r>
      <w:r>
        <w:rPr>
          <w:rFonts w:hint="eastAsia" w:ascii="宋体" w:hAnsi="宋体"/>
          <w:sz w:val="28"/>
          <w:szCs w:val="28"/>
          <w:lang w:eastAsia="zh-CN"/>
        </w:rPr>
        <w:t>省微山县欢城</w:t>
      </w:r>
      <w:r>
        <w:rPr>
          <w:rFonts w:hint="eastAsia" w:ascii="宋体" w:hAnsi="宋体"/>
          <w:sz w:val="28"/>
          <w:szCs w:val="28"/>
        </w:rPr>
        <w:t>镇</w:t>
      </w:r>
      <w:r>
        <w:rPr>
          <w:rFonts w:hint="eastAsia" w:ascii="宋体" w:hAnsi="宋体"/>
          <w:sz w:val="28"/>
          <w:szCs w:val="28"/>
          <w:lang w:eastAsia="zh-CN"/>
        </w:rPr>
        <w:t>欢城</w:t>
      </w:r>
      <w:r>
        <w:rPr>
          <w:rFonts w:hint="eastAsia" w:ascii="宋体" w:hAnsi="宋体"/>
          <w:sz w:val="28"/>
          <w:szCs w:val="28"/>
        </w:rPr>
        <w:t>煤矿</w:t>
      </w:r>
      <w:r>
        <w:rPr>
          <w:rFonts w:hint="eastAsia" w:ascii="宋体" w:hAnsi="宋体"/>
          <w:sz w:val="28"/>
          <w:szCs w:val="28"/>
          <w:lang w:eastAsia="zh-CN"/>
        </w:rPr>
        <w:t>主井。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b/>
          <w:bCs/>
          <w:sz w:val="28"/>
          <w:szCs w:val="28"/>
        </w:rPr>
      </w:pPr>
      <w:bookmarkStart w:id="3" w:name="_Toc10545"/>
      <w:r>
        <w:rPr>
          <w:rFonts w:hint="eastAsia"/>
          <w:b/>
          <w:bCs/>
          <w:sz w:val="28"/>
          <w:szCs w:val="28"/>
        </w:rPr>
        <w:t>三、施工时间</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outlineLvl w:val="9"/>
        <w:rPr>
          <w:rFonts w:hint="default" w:ascii="宋体" w:hAnsi="宋体" w:eastAsia="宋体" w:cs="宋体"/>
          <w:sz w:val="28"/>
          <w:szCs w:val="28"/>
          <w:lang w:val="en-US"/>
        </w:rPr>
      </w:pPr>
      <w:r>
        <w:rPr>
          <w:rFonts w:hint="eastAsia" w:ascii="宋体" w:hAnsi="宋体" w:eastAsia="宋体" w:cs="宋体"/>
          <w:b/>
          <w:bCs/>
          <w:sz w:val="28"/>
          <w:szCs w:val="28"/>
        </w:rPr>
        <w:t>施工计划时间：</w:t>
      </w:r>
      <w:r>
        <w:rPr>
          <w:rFonts w:hint="eastAsia" w:ascii="宋体" w:hAnsi="宋体" w:cs="宋体"/>
          <w:b/>
          <w:bCs/>
          <w:sz w:val="28"/>
          <w:szCs w:val="28"/>
          <w:lang w:val="en-US" w:eastAsia="zh-CN"/>
        </w:rPr>
        <w:t>根据生产情况（待定）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1"/>
        <w:rPr>
          <w:rFonts w:hint="eastAsia"/>
          <w:b/>
          <w:bCs/>
          <w:sz w:val="30"/>
          <w:szCs w:val="30"/>
        </w:rPr>
      </w:pPr>
      <w:bookmarkStart w:id="4" w:name="_Toc17419"/>
      <w:r>
        <w:rPr>
          <w:rFonts w:hint="eastAsia"/>
          <w:b/>
          <w:bCs/>
          <w:sz w:val="30"/>
          <w:szCs w:val="30"/>
          <w:lang w:eastAsia="zh-CN"/>
        </w:rPr>
        <w:t>四、</w:t>
      </w:r>
      <w:r>
        <w:rPr>
          <w:rFonts w:hint="eastAsia"/>
          <w:b/>
          <w:bCs/>
          <w:sz w:val="30"/>
          <w:szCs w:val="30"/>
        </w:rPr>
        <w:t>安装工作量</w:t>
      </w:r>
      <w:bookmarkEnd w:id="4"/>
    </w:p>
    <w:p>
      <w:pPr>
        <w:keepNext w:val="0"/>
        <w:keepLines w:val="0"/>
        <w:pageBreakBefore w:val="0"/>
        <w:kinsoku/>
        <w:wordWrap/>
        <w:overflowPunct/>
        <w:topLinePunct w:val="0"/>
        <w:autoSpaceDE/>
        <w:autoSpaceDN/>
        <w:bidi w:val="0"/>
        <w:adjustRightInd w:val="0"/>
        <w:spacing w:line="360" w:lineRule="auto"/>
        <w:ind w:firstLine="560" w:firstLineChars="200"/>
        <w:jc w:val="left"/>
        <w:textAlignment w:val="baseline"/>
        <w:rPr>
          <w:rFonts w:hint="eastAsia" w:asciiTheme="majorEastAsia" w:hAnsiTheme="majorEastAsia" w:eastAsiaTheme="majorEastAsia" w:cstheme="majorEastAsia"/>
          <w:sz w:val="28"/>
          <w:szCs w:val="28"/>
          <w:lang w:val="en-US" w:eastAsia="zh-CN"/>
        </w:rPr>
      </w:pPr>
      <w:bookmarkStart w:id="5" w:name="_Toc31905"/>
      <w:r>
        <w:rPr>
          <w:rFonts w:hint="eastAsia" w:asciiTheme="majorEastAsia" w:hAnsiTheme="majorEastAsia" w:eastAsiaTheme="majorEastAsia" w:cstheme="majorEastAsia"/>
          <w:sz w:val="28"/>
          <w:szCs w:val="28"/>
          <w:lang w:val="en-US" w:eastAsia="zh-CN"/>
        </w:rPr>
        <w:t>拆除旧过卷防护缓冲托罐装置</w:t>
      </w:r>
    </w:p>
    <w:p>
      <w:pPr>
        <w:pStyle w:val="4"/>
        <w:ind w:firstLine="560" w:firstLineChars="200"/>
        <w:rPr>
          <w:rFonts w:hint="default"/>
          <w:lang w:val="en-US" w:eastAsia="zh-CN"/>
        </w:rPr>
      </w:pPr>
      <w:r>
        <w:rPr>
          <w:rFonts w:hint="eastAsia" w:asciiTheme="majorEastAsia" w:hAnsiTheme="majorEastAsia" w:eastAsiaTheme="majorEastAsia" w:cstheme="majorEastAsia"/>
          <w:b w:val="0"/>
          <w:bCs w:val="0"/>
          <w:kern w:val="2"/>
          <w:sz w:val="28"/>
          <w:szCs w:val="28"/>
          <w:lang w:val="en-US" w:eastAsia="zh-CN" w:bidi="ar-SA"/>
        </w:rPr>
        <w:t>安装新过卷防护缓冲托罐装置</w:t>
      </w:r>
    </w:p>
    <w:p>
      <w:pPr>
        <w:pStyle w:val="6"/>
        <w:pageBreakBefore w:val="0"/>
        <w:kinsoku/>
        <w:wordWrap/>
        <w:overflowPunct/>
        <w:topLinePunct w:val="0"/>
        <w:bidi w:val="0"/>
        <w:spacing w:before="0" w:after="0" w:line="52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执行标准和依据</w:t>
      </w:r>
    </w:p>
    <w:p>
      <w:pPr>
        <w:pStyle w:val="2"/>
        <w:numPr>
          <w:ilvl w:val="0"/>
          <w:numId w:val="0"/>
        </w:numPr>
        <w:ind w:firstLine="560" w:firstLineChars="200"/>
        <w:rPr>
          <w:rFonts w:hint="eastAsia" w:ascii="宋体" w:hAnsi="宋体" w:eastAsia="宋体" w:cs="宋体"/>
          <w:sz w:val="28"/>
          <w:szCs w:val="28"/>
          <w:lang w:eastAsia="zh-CN"/>
        </w:rPr>
      </w:pPr>
      <w:r>
        <w:rPr>
          <w:rFonts w:hint="eastAsia" w:ascii="宋体" w:hAnsi="宋体" w:cs="宋体"/>
          <w:color w:val="000000"/>
          <w:sz w:val="28"/>
          <w:szCs w:val="28"/>
          <w:lang w:val="en-US" w:eastAsia="zh-CN"/>
        </w:rPr>
        <w:t>产品必须具有煤安证，</w:t>
      </w:r>
      <w:r>
        <w:rPr>
          <w:rFonts w:hint="eastAsia" w:ascii="宋体" w:hAnsi="宋体" w:eastAsia="宋体" w:cs="宋体"/>
          <w:color w:val="000000"/>
          <w:sz w:val="28"/>
          <w:szCs w:val="28"/>
        </w:rPr>
        <w:t>必须满足主井技术参数要求、《设计规范》、《煤矿安全规程》</w:t>
      </w:r>
      <w:r>
        <w:rPr>
          <w:rFonts w:hint="eastAsia" w:ascii="宋体" w:hAnsi="宋体" w:eastAsia="宋体" w:cs="宋体"/>
          <w:sz w:val="28"/>
          <w:szCs w:val="28"/>
        </w:rPr>
        <w:t>（20</w:t>
      </w:r>
      <w:r>
        <w:rPr>
          <w:rFonts w:hint="eastAsia" w:ascii="宋体" w:hAnsi="宋体" w:cs="宋体"/>
          <w:sz w:val="28"/>
          <w:szCs w:val="28"/>
          <w:lang w:val="en-US" w:eastAsia="zh-CN"/>
        </w:rPr>
        <w:t>22</w:t>
      </w:r>
      <w:r>
        <w:rPr>
          <w:rFonts w:hint="eastAsia" w:ascii="宋体" w:hAnsi="宋体" w:eastAsia="宋体" w:cs="宋体"/>
          <w:sz w:val="28"/>
          <w:szCs w:val="28"/>
        </w:rPr>
        <w:t>版）</w:t>
      </w:r>
      <w:r>
        <w:rPr>
          <w:rFonts w:hint="eastAsia" w:ascii="宋体" w:hAnsi="宋体" w:eastAsia="宋体" w:cs="宋体"/>
          <w:color w:val="000000"/>
          <w:sz w:val="28"/>
          <w:szCs w:val="28"/>
        </w:rPr>
        <w:t>等相关国家规定及行业标准。 
</w:t>
      </w:r>
    </w:p>
    <w:p>
      <w:pPr>
        <w:pStyle w:val="6"/>
        <w:pageBreakBefore w:val="0"/>
        <w:numPr>
          <w:ilvl w:val="0"/>
          <w:numId w:val="1"/>
        </w:numPr>
        <w:kinsoku/>
        <w:wordWrap/>
        <w:overflowPunct/>
        <w:topLinePunct w:val="0"/>
        <w:bidi w:val="0"/>
        <w:spacing w:before="0" w:after="0" w:line="52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设备型号、主要结构</w:t>
      </w:r>
      <w:r>
        <w:rPr>
          <w:rFonts w:hint="eastAsia" w:ascii="宋体" w:hAnsi="宋体" w:cs="宋体"/>
          <w:b/>
          <w:bCs/>
          <w:sz w:val="28"/>
          <w:szCs w:val="28"/>
          <w:lang w:eastAsia="zh-CN"/>
        </w:rPr>
        <w:t>、</w:t>
      </w:r>
      <w:r>
        <w:rPr>
          <w:rFonts w:hint="eastAsia" w:ascii="宋体" w:hAnsi="宋体" w:eastAsia="宋体" w:cs="宋体"/>
          <w:b/>
          <w:bCs/>
          <w:sz w:val="28"/>
          <w:szCs w:val="28"/>
        </w:rPr>
        <w:t>数量</w:t>
      </w:r>
      <w:r>
        <w:rPr>
          <w:rFonts w:hint="eastAsia" w:ascii="宋体" w:hAnsi="宋体" w:cs="宋体"/>
          <w:b/>
          <w:bCs/>
          <w:sz w:val="28"/>
          <w:szCs w:val="28"/>
          <w:lang w:val="en-US" w:eastAsia="zh-CN"/>
        </w:rPr>
        <w:t>、</w:t>
      </w:r>
      <w:r>
        <w:rPr>
          <w:rFonts w:hint="eastAsia" w:ascii="宋体" w:hAnsi="宋体" w:eastAsia="宋体" w:cs="宋体"/>
          <w:b/>
          <w:bCs/>
          <w:sz w:val="28"/>
          <w:szCs w:val="28"/>
        </w:rPr>
        <w:t>参数及技术要求</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、设备型号及数量：</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防过卷缓冲托罐装置</w:t>
      </w:r>
      <w:r>
        <w:rPr>
          <w:rFonts w:hint="eastAsia" w:ascii="宋体" w:hAnsi="宋体" w:eastAsia="宋体" w:cs="宋体"/>
          <w:sz w:val="28"/>
          <w:szCs w:val="28"/>
          <w:lang w:val="en-US" w:eastAsia="zh-CN"/>
        </w:rPr>
        <w:t>2</w:t>
      </w:r>
      <w:r>
        <w:rPr>
          <w:rFonts w:hint="eastAsia" w:ascii="宋体" w:hAnsi="宋体" w:eastAsia="宋体" w:cs="宋体"/>
          <w:sz w:val="28"/>
          <w:szCs w:val="28"/>
        </w:rPr>
        <w:t>套</w:t>
      </w:r>
      <w:r>
        <w:rPr>
          <w:rFonts w:hint="eastAsia" w:ascii="宋体" w:hAnsi="宋体" w:cs="宋体"/>
          <w:sz w:val="28"/>
          <w:szCs w:val="28"/>
          <w:lang w:val="en-US" w:eastAsia="zh-CN"/>
        </w:rPr>
        <w:t xml:space="preserve">        </w:t>
      </w:r>
      <w:r>
        <w:rPr>
          <w:rFonts w:hint="eastAsia" w:ascii="宋体" w:hAnsi="宋体" w:eastAsia="宋体" w:cs="宋体"/>
          <w:sz w:val="28"/>
          <w:szCs w:val="28"/>
        </w:rPr>
        <w:t>型号：</w:t>
      </w:r>
      <w:r>
        <w:rPr>
          <w:rFonts w:hint="eastAsia" w:ascii="宋体" w:hAnsi="宋体" w:eastAsia="宋体" w:cs="宋体"/>
          <w:color w:val="333333"/>
          <w:sz w:val="28"/>
          <w:szCs w:val="28"/>
        </w:rPr>
        <w:t xml:space="preserve">HGJ-1200/12/800M </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b w:val="0"/>
          <w:bCs/>
          <w:sz w:val="28"/>
          <w:szCs w:val="28"/>
          <w:lang w:val="en-US" w:eastAsia="zh-CN"/>
        </w:rPr>
        <w:t>防过放缓冲</w:t>
      </w:r>
      <w:r>
        <w:rPr>
          <w:rFonts w:hint="eastAsia" w:ascii="宋体" w:hAnsi="宋体" w:eastAsia="宋体" w:cs="宋体"/>
          <w:sz w:val="28"/>
          <w:szCs w:val="28"/>
        </w:rPr>
        <w:t>托罐</w:t>
      </w:r>
      <w:r>
        <w:rPr>
          <w:rFonts w:hint="eastAsia" w:ascii="宋体" w:hAnsi="宋体" w:eastAsia="宋体" w:cs="宋体"/>
          <w:b w:val="0"/>
          <w:bCs/>
          <w:sz w:val="28"/>
          <w:szCs w:val="28"/>
          <w:lang w:val="en-US" w:eastAsia="zh-CN"/>
        </w:rPr>
        <w:t>装置</w:t>
      </w:r>
      <w:r>
        <w:rPr>
          <w:rFonts w:hint="eastAsia" w:ascii="宋体" w:hAnsi="宋体" w:eastAsia="宋体" w:cs="宋体"/>
          <w:sz w:val="28"/>
          <w:szCs w:val="28"/>
          <w:lang w:val="en-US" w:eastAsia="zh-CN"/>
        </w:rPr>
        <w:t>2</w:t>
      </w:r>
      <w:r>
        <w:rPr>
          <w:rFonts w:hint="eastAsia" w:ascii="宋体" w:hAnsi="宋体" w:eastAsia="宋体" w:cs="宋体"/>
          <w:sz w:val="28"/>
          <w:szCs w:val="28"/>
        </w:rPr>
        <w:t>套</w:t>
      </w:r>
      <w:r>
        <w:rPr>
          <w:rFonts w:hint="eastAsia" w:ascii="宋体" w:hAnsi="宋体" w:cs="宋体"/>
          <w:sz w:val="28"/>
          <w:szCs w:val="28"/>
          <w:lang w:val="en-US" w:eastAsia="zh-CN"/>
        </w:rPr>
        <w:t xml:space="preserve">        </w:t>
      </w:r>
      <w:r>
        <w:rPr>
          <w:rFonts w:hint="eastAsia" w:ascii="宋体" w:hAnsi="宋体" w:eastAsia="宋体" w:cs="宋体"/>
          <w:sz w:val="28"/>
          <w:szCs w:val="28"/>
        </w:rPr>
        <w:t>型号：</w:t>
      </w:r>
      <w:r>
        <w:rPr>
          <w:rFonts w:hint="eastAsia" w:ascii="宋体" w:hAnsi="宋体" w:eastAsia="宋体" w:cs="宋体"/>
          <w:color w:val="333333"/>
          <w:sz w:val="28"/>
          <w:szCs w:val="28"/>
        </w:rPr>
        <w:t>HG</w:t>
      </w:r>
      <w:r>
        <w:rPr>
          <w:rFonts w:hint="eastAsia" w:ascii="宋体" w:hAnsi="宋体" w:eastAsia="宋体" w:cs="宋体"/>
          <w:color w:val="333333"/>
          <w:sz w:val="28"/>
          <w:szCs w:val="28"/>
          <w:lang w:val="en-US" w:eastAsia="zh-CN"/>
        </w:rPr>
        <w:t>F</w:t>
      </w:r>
      <w:r>
        <w:rPr>
          <w:rFonts w:hint="eastAsia" w:ascii="宋体" w:hAnsi="宋体" w:eastAsia="宋体" w:cs="宋体"/>
          <w:color w:val="333333"/>
          <w:sz w:val="28"/>
          <w:szCs w:val="28"/>
        </w:rPr>
        <w:t>-1200/12/800M</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2、主要结构：</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立井提升防过卷缓冲托罐装置</w:t>
      </w:r>
      <w:r>
        <w:rPr>
          <w:rFonts w:hint="eastAsia" w:ascii="宋体" w:hAnsi="宋体" w:eastAsia="宋体" w:cs="宋体"/>
          <w:sz w:val="28"/>
          <w:szCs w:val="28"/>
          <w:lang w:eastAsia="zh-CN"/>
        </w:rPr>
        <w:t>：</w:t>
      </w:r>
      <w:r>
        <w:rPr>
          <w:rFonts w:hint="eastAsia" w:ascii="宋体" w:hAnsi="宋体" w:eastAsia="宋体" w:cs="宋体"/>
          <w:sz w:val="28"/>
          <w:szCs w:val="28"/>
        </w:rPr>
        <w:t>由托罐装置</w:t>
      </w:r>
      <w:r>
        <w:rPr>
          <w:rFonts w:hint="eastAsia" w:ascii="宋体" w:hAnsi="宋体" w:eastAsia="宋体" w:cs="宋体"/>
          <w:spacing w:val="-8"/>
          <w:sz w:val="28"/>
          <w:szCs w:val="28"/>
        </w:rPr>
        <w:t>HGJ</w:t>
      </w:r>
      <w:r>
        <w:rPr>
          <w:rFonts w:hint="eastAsia" w:ascii="宋体" w:hAnsi="宋体" w:eastAsia="宋体" w:cs="宋体"/>
          <w:spacing w:val="-16"/>
          <w:sz w:val="28"/>
          <w:szCs w:val="28"/>
        </w:rPr>
        <w:t>-</w:t>
      </w:r>
      <w:r>
        <w:rPr>
          <w:rFonts w:hint="eastAsia" w:ascii="宋体" w:hAnsi="宋体" w:eastAsia="宋体" w:cs="宋体"/>
          <w:spacing w:val="-15"/>
          <w:sz w:val="28"/>
          <w:szCs w:val="28"/>
        </w:rPr>
        <w:t xml:space="preserve"> </w:t>
      </w:r>
      <w:r>
        <w:rPr>
          <w:rFonts w:hint="eastAsia" w:ascii="宋体" w:hAnsi="宋体" w:eastAsia="宋体" w:cs="宋体"/>
          <w:spacing w:val="-8"/>
          <w:sz w:val="28"/>
          <w:szCs w:val="28"/>
        </w:rPr>
        <w:t>1200/12-800M-05</w:t>
      </w:r>
      <w:r>
        <w:rPr>
          <w:rFonts w:hint="eastAsia" w:ascii="宋体" w:hAnsi="宋体" w:eastAsia="宋体" w:cs="宋体"/>
          <w:sz w:val="28"/>
          <w:szCs w:val="28"/>
        </w:rPr>
        <w:t>、缓冲装置、缓冲钢丝绳</w:t>
      </w:r>
      <w:r>
        <w:rPr>
          <w:rFonts w:hint="eastAsia" w:ascii="宋体" w:hAnsi="宋体" w:eastAsia="宋体" w:cs="宋体"/>
          <w:spacing w:val="-4"/>
          <w:sz w:val="28"/>
          <w:szCs w:val="28"/>
        </w:rPr>
        <w:t>6</w:t>
      </w:r>
      <w:r>
        <w:rPr>
          <w:rFonts w:hint="eastAsia" w:ascii="宋体" w:hAnsi="宋体" w:eastAsia="宋体" w:cs="宋体"/>
          <w:spacing w:val="-3"/>
          <w:sz w:val="28"/>
          <w:szCs w:val="28"/>
        </w:rPr>
        <w:t>×37S-27.5-1770</w:t>
      </w:r>
      <w:r>
        <w:rPr>
          <w:rFonts w:hint="eastAsia" w:ascii="宋体" w:hAnsi="宋体" w:eastAsia="宋体" w:cs="宋体"/>
          <w:sz w:val="28"/>
          <w:szCs w:val="28"/>
        </w:rPr>
        <w:t>组成。缓冲装置主要包括变力缓冲器</w:t>
      </w:r>
      <w:r>
        <w:rPr>
          <w:rFonts w:hint="eastAsia" w:ascii="宋体" w:hAnsi="宋体" w:eastAsia="宋体" w:cs="宋体"/>
          <w:spacing w:val="-8"/>
          <w:sz w:val="28"/>
          <w:szCs w:val="28"/>
        </w:rPr>
        <w:t>HGJ</w:t>
      </w:r>
      <w:r>
        <w:rPr>
          <w:rFonts w:hint="eastAsia" w:ascii="宋体" w:hAnsi="宋体" w:eastAsia="宋体" w:cs="宋体"/>
          <w:spacing w:val="-16"/>
          <w:sz w:val="28"/>
          <w:szCs w:val="28"/>
        </w:rPr>
        <w:t>-</w:t>
      </w:r>
      <w:r>
        <w:rPr>
          <w:rFonts w:hint="eastAsia" w:ascii="宋体" w:hAnsi="宋体" w:eastAsia="宋体" w:cs="宋体"/>
          <w:spacing w:val="-15"/>
          <w:sz w:val="28"/>
          <w:szCs w:val="28"/>
        </w:rPr>
        <w:t xml:space="preserve"> </w:t>
      </w:r>
      <w:r>
        <w:rPr>
          <w:rFonts w:hint="eastAsia" w:ascii="宋体" w:hAnsi="宋体" w:eastAsia="宋体" w:cs="宋体"/>
          <w:spacing w:val="-8"/>
          <w:sz w:val="28"/>
          <w:szCs w:val="28"/>
        </w:rPr>
        <w:t>1200/12-800M-08</w:t>
      </w:r>
      <w:r>
        <w:rPr>
          <w:rFonts w:hint="eastAsia" w:ascii="宋体" w:hAnsi="宋体" w:eastAsia="宋体" w:cs="宋体"/>
          <w:sz w:val="28"/>
          <w:szCs w:val="28"/>
        </w:rPr>
        <w:t>、逆止缓冲平台</w:t>
      </w:r>
      <w:r>
        <w:rPr>
          <w:rFonts w:hint="eastAsia" w:ascii="宋体" w:hAnsi="宋体" w:eastAsia="宋体" w:cs="宋体"/>
          <w:spacing w:val="-8"/>
          <w:sz w:val="28"/>
          <w:szCs w:val="28"/>
        </w:rPr>
        <w:t>HGJ</w:t>
      </w:r>
      <w:r>
        <w:rPr>
          <w:rFonts w:hint="eastAsia" w:ascii="宋体" w:hAnsi="宋体" w:eastAsia="宋体" w:cs="宋体"/>
          <w:spacing w:val="-16"/>
          <w:sz w:val="28"/>
          <w:szCs w:val="28"/>
        </w:rPr>
        <w:t>-</w:t>
      </w:r>
      <w:r>
        <w:rPr>
          <w:rFonts w:hint="eastAsia" w:ascii="宋体" w:hAnsi="宋体" w:eastAsia="宋体" w:cs="宋体"/>
          <w:spacing w:val="-15"/>
          <w:sz w:val="28"/>
          <w:szCs w:val="28"/>
        </w:rPr>
        <w:t xml:space="preserve"> </w:t>
      </w:r>
      <w:r>
        <w:rPr>
          <w:rFonts w:hint="eastAsia" w:ascii="宋体" w:hAnsi="宋体" w:eastAsia="宋体" w:cs="宋体"/>
          <w:spacing w:val="-8"/>
          <w:sz w:val="28"/>
          <w:szCs w:val="28"/>
        </w:rPr>
        <w:t>1200/12/800M-06</w:t>
      </w:r>
      <w:r>
        <w:rPr>
          <w:rFonts w:hint="eastAsia" w:ascii="宋体" w:hAnsi="宋体" w:eastAsia="宋体" w:cs="宋体"/>
          <w:sz w:val="28"/>
          <w:szCs w:val="28"/>
        </w:rPr>
        <w:t>。它是利用多盘摩擦制动原理吸收过卷容器的动能。</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cs="宋体"/>
          <w:color w:val="auto"/>
          <w:spacing w:val="-2"/>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b w:val="0"/>
          <w:bCs/>
          <w:color w:val="auto"/>
          <w:sz w:val="28"/>
          <w:szCs w:val="28"/>
          <w:lang w:val="en-US" w:eastAsia="zh-CN"/>
        </w:rPr>
        <w:t>防过放缓冲</w:t>
      </w:r>
      <w:r>
        <w:rPr>
          <w:rFonts w:hint="eastAsia" w:ascii="宋体" w:hAnsi="宋体" w:eastAsia="宋体" w:cs="宋体"/>
          <w:color w:val="auto"/>
          <w:sz w:val="28"/>
          <w:szCs w:val="28"/>
        </w:rPr>
        <w:t>托罐</w:t>
      </w:r>
      <w:r>
        <w:rPr>
          <w:rFonts w:hint="eastAsia" w:ascii="宋体" w:hAnsi="宋体" w:eastAsia="宋体" w:cs="宋体"/>
          <w:b w:val="0"/>
          <w:bCs/>
          <w:color w:val="auto"/>
          <w:sz w:val="28"/>
          <w:szCs w:val="28"/>
          <w:lang w:val="en-US" w:eastAsia="zh-CN"/>
        </w:rPr>
        <w:t>装置：由</w:t>
      </w:r>
      <w:r>
        <w:rPr>
          <w:rFonts w:hint="eastAsia" w:ascii="宋体" w:hAnsi="宋体" w:eastAsia="宋体" w:cs="宋体"/>
          <w:color w:val="auto"/>
          <w:spacing w:val="-2"/>
          <w:sz w:val="28"/>
          <w:szCs w:val="28"/>
        </w:rPr>
        <w:t>变力式</w:t>
      </w:r>
      <w:r>
        <w:rPr>
          <w:rFonts w:hint="eastAsia" w:ascii="宋体" w:hAnsi="宋体" w:eastAsia="宋体" w:cs="宋体"/>
          <w:color w:val="auto"/>
          <w:spacing w:val="-1"/>
          <w:sz w:val="28"/>
          <w:szCs w:val="28"/>
        </w:rPr>
        <w:t>缓冲器</w:t>
      </w:r>
      <w:r>
        <w:rPr>
          <w:rFonts w:hint="eastAsia" w:ascii="宋体" w:hAnsi="宋体" w:eastAsia="宋体" w:cs="宋体"/>
          <w:color w:val="auto"/>
          <w:spacing w:val="-8"/>
          <w:sz w:val="28"/>
          <w:szCs w:val="28"/>
        </w:rPr>
        <w:t>HGJ</w:t>
      </w:r>
      <w:r>
        <w:rPr>
          <w:rFonts w:hint="eastAsia" w:ascii="宋体" w:hAnsi="宋体" w:eastAsia="宋体" w:cs="宋体"/>
          <w:color w:val="auto"/>
          <w:spacing w:val="-16"/>
          <w:sz w:val="28"/>
          <w:szCs w:val="28"/>
        </w:rPr>
        <w:t>-</w:t>
      </w:r>
      <w:r>
        <w:rPr>
          <w:rFonts w:hint="eastAsia" w:ascii="宋体" w:hAnsi="宋体" w:eastAsia="宋体" w:cs="宋体"/>
          <w:color w:val="auto"/>
          <w:spacing w:val="-15"/>
          <w:sz w:val="28"/>
          <w:szCs w:val="28"/>
        </w:rPr>
        <w:t xml:space="preserve"> </w:t>
      </w:r>
      <w:r>
        <w:rPr>
          <w:rFonts w:hint="eastAsia" w:ascii="宋体" w:hAnsi="宋体" w:eastAsia="宋体" w:cs="宋体"/>
          <w:color w:val="auto"/>
          <w:spacing w:val="-8"/>
          <w:sz w:val="28"/>
          <w:szCs w:val="28"/>
        </w:rPr>
        <w:t>1200/12-800M-05</w:t>
      </w:r>
      <w:r>
        <w:rPr>
          <w:rFonts w:hint="eastAsia" w:ascii="宋体" w:hAnsi="宋体" w:eastAsia="宋体" w:cs="宋体"/>
          <w:color w:val="auto"/>
          <w:spacing w:val="-1"/>
          <w:sz w:val="28"/>
          <w:szCs w:val="28"/>
          <w:lang w:eastAsia="zh-CN"/>
        </w:rPr>
        <w:t>、</w:t>
      </w:r>
      <w:r>
        <w:rPr>
          <w:rFonts w:hint="eastAsia" w:ascii="宋体" w:hAnsi="宋体" w:eastAsia="宋体" w:cs="宋体"/>
          <w:color w:val="auto"/>
          <w:spacing w:val="-3"/>
          <w:sz w:val="28"/>
          <w:szCs w:val="28"/>
        </w:rPr>
        <w:t>缓</w:t>
      </w:r>
      <w:r>
        <w:rPr>
          <w:rFonts w:hint="eastAsia" w:ascii="宋体" w:hAnsi="宋体" w:eastAsia="宋体" w:cs="宋体"/>
          <w:color w:val="auto"/>
          <w:spacing w:val="-2"/>
          <w:sz w:val="28"/>
          <w:szCs w:val="28"/>
        </w:rPr>
        <w:t>冲梁平台</w:t>
      </w:r>
      <w:r>
        <w:rPr>
          <w:rFonts w:hint="eastAsia" w:ascii="宋体" w:hAnsi="宋体" w:eastAsia="宋体" w:cs="宋体"/>
          <w:color w:val="auto"/>
          <w:spacing w:val="-8"/>
          <w:sz w:val="28"/>
          <w:szCs w:val="28"/>
        </w:rPr>
        <w:t>HGF</w:t>
      </w:r>
      <w:r>
        <w:rPr>
          <w:rFonts w:hint="eastAsia" w:ascii="宋体" w:hAnsi="宋体" w:eastAsia="宋体" w:cs="宋体"/>
          <w:color w:val="auto"/>
          <w:spacing w:val="-13"/>
          <w:sz w:val="28"/>
          <w:szCs w:val="28"/>
        </w:rPr>
        <w:t>-</w:t>
      </w:r>
      <w:r>
        <w:rPr>
          <w:rFonts w:hint="eastAsia" w:ascii="宋体" w:hAnsi="宋体" w:eastAsia="宋体" w:cs="宋体"/>
          <w:color w:val="auto"/>
          <w:spacing w:val="-8"/>
          <w:sz w:val="28"/>
          <w:szCs w:val="28"/>
        </w:rPr>
        <w:t xml:space="preserve"> 1200/12/800M-06</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lang w:val="en-US" w:eastAsia="zh-CN"/>
        </w:rPr>
        <w:t>缓冲</w:t>
      </w:r>
      <w:r>
        <w:rPr>
          <w:rFonts w:hint="eastAsia" w:ascii="宋体" w:hAnsi="宋体" w:eastAsia="宋体" w:cs="宋体"/>
          <w:color w:val="auto"/>
          <w:spacing w:val="-3"/>
          <w:sz w:val="28"/>
          <w:szCs w:val="28"/>
        </w:rPr>
        <w:t>钢</w:t>
      </w:r>
      <w:r>
        <w:rPr>
          <w:rFonts w:hint="eastAsia" w:ascii="宋体" w:hAnsi="宋体" w:eastAsia="宋体" w:cs="宋体"/>
          <w:color w:val="auto"/>
          <w:spacing w:val="-2"/>
          <w:sz w:val="28"/>
          <w:szCs w:val="28"/>
        </w:rPr>
        <w:t>丝绳</w:t>
      </w:r>
      <w:r>
        <w:rPr>
          <w:rFonts w:hint="eastAsia" w:ascii="宋体" w:hAnsi="宋体" w:eastAsia="宋体" w:cs="宋体"/>
          <w:color w:val="auto"/>
          <w:spacing w:val="-4"/>
          <w:sz w:val="28"/>
          <w:szCs w:val="28"/>
        </w:rPr>
        <w:t>6</w:t>
      </w:r>
      <w:r>
        <w:rPr>
          <w:rFonts w:hint="eastAsia" w:ascii="宋体" w:hAnsi="宋体" w:eastAsia="宋体" w:cs="宋体"/>
          <w:color w:val="auto"/>
          <w:spacing w:val="-3"/>
          <w:sz w:val="28"/>
          <w:szCs w:val="28"/>
        </w:rPr>
        <w:t>×37S-27.5-1770</w:t>
      </w:r>
      <w:r>
        <w:rPr>
          <w:rFonts w:hint="eastAsia" w:ascii="宋体" w:hAnsi="宋体" w:eastAsia="宋体" w:cs="宋体"/>
          <w:color w:val="auto"/>
          <w:spacing w:val="-2"/>
          <w:sz w:val="28"/>
          <w:szCs w:val="28"/>
          <w:lang w:val="en-US" w:eastAsia="zh-CN"/>
        </w:rPr>
        <w:t>组成</w:t>
      </w:r>
      <w:r>
        <w:rPr>
          <w:rFonts w:hint="eastAsia" w:ascii="宋体" w:hAnsi="宋体" w:cs="宋体"/>
          <w:color w:val="auto"/>
          <w:spacing w:val="-2"/>
          <w:sz w:val="28"/>
          <w:szCs w:val="28"/>
          <w:lang w:val="en-US" w:eastAsia="zh-CN"/>
        </w:rPr>
        <w:t>。</w:t>
      </w:r>
    </w:p>
    <w:p>
      <w:pPr>
        <w:keepNext w:val="0"/>
        <w:keepLines w:val="0"/>
        <w:pageBreakBefore w:val="0"/>
        <w:widowControl w:val="0"/>
        <w:kinsoku/>
        <w:wordWrap/>
        <w:overflowPunct/>
        <w:topLinePunct w:val="0"/>
        <w:bidi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3</w:t>
      </w:r>
      <w:r>
        <w:rPr>
          <w:rFonts w:hint="eastAsia" w:ascii="宋体" w:hAnsi="宋体" w:eastAsia="宋体" w:cs="宋体"/>
          <w:b/>
          <w:bCs/>
          <w:sz w:val="28"/>
          <w:szCs w:val="28"/>
        </w:rPr>
        <w:t>、设备主要参数</w:t>
      </w:r>
    </w:p>
    <w:p>
      <w:pPr>
        <w:keepNext w:val="0"/>
        <w:keepLines w:val="0"/>
        <w:pageBreakBefore w:val="0"/>
        <w:widowControl w:val="0"/>
        <w:kinsoku/>
        <w:wordWrap/>
        <w:overflowPunct/>
        <w:topLinePunct w:val="0"/>
        <w:bidi w:val="0"/>
        <w:snapToGrid/>
        <w:spacing w:line="520" w:lineRule="exact"/>
        <w:ind w:left="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最大制动力：</w:t>
      </w:r>
      <w:r>
        <w:rPr>
          <w:rFonts w:hint="eastAsia" w:ascii="宋体" w:hAnsi="宋体" w:eastAsia="宋体" w:cs="宋体"/>
          <w:sz w:val="28"/>
          <w:szCs w:val="28"/>
          <w:lang w:val="en-US" w:eastAsia="zh-CN"/>
        </w:rPr>
        <w:t>12</w:t>
      </w:r>
      <w:r>
        <w:rPr>
          <w:rFonts w:hint="eastAsia" w:ascii="宋体" w:hAnsi="宋体" w:eastAsia="宋体" w:cs="宋体"/>
          <w:sz w:val="28"/>
          <w:szCs w:val="28"/>
        </w:rPr>
        <w:t>00 kN</w:t>
      </w:r>
    </w:p>
    <w:p>
      <w:pPr>
        <w:keepNext w:val="0"/>
        <w:keepLines w:val="0"/>
        <w:pageBreakBefore w:val="0"/>
        <w:widowControl w:val="0"/>
        <w:kinsoku/>
        <w:wordWrap/>
        <w:overflowPunct/>
        <w:topLinePunct w:val="0"/>
        <w:bidi w:val="0"/>
        <w:snapToGrid/>
        <w:spacing w:line="520" w:lineRule="exact"/>
        <w:ind w:left="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适用最大速度：12 m/s</w:t>
      </w:r>
    </w:p>
    <w:p>
      <w:pPr>
        <w:keepNext w:val="0"/>
        <w:keepLines w:val="0"/>
        <w:pageBreakBefore w:val="0"/>
        <w:widowControl w:val="0"/>
        <w:kinsoku/>
        <w:wordWrap/>
        <w:overflowPunct/>
        <w:topLinePunct w:val="0"/>
        <w:bidi w:val="0"/>
        <w:snapToGrid/>
        <w:spacing w:line="520" w:lineRule="exact"/>
        <w:ind w:left="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适用最大终端载荷：</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00 kN  </w:t>
      </w:r>
    </w:p>
    <w:p>
      <w:pPr>
        <w:keepNext w:val="0"/>
        <w:keepLines w:val="0"/>
        <w:pageBreakBefore w:val="0"/>
        <w:widowControl w:val="0"/>
        <w:kinsoku/>
        <w:wordWrap/>
        <w:overflowPunct/>
        <w:topLinePunct w:val="0"/>
        <w:bidi w:val="0"/>
        <w:snapToGrid/>
        <w:spacing w:line="520" w:lineRule="exact"/>
        <w:ind w:left="0" w:firstLine="840" w:firstLineChars="300"/>
        <w:textAlignment w:val="auto"/>
        <w:rPr>
          <w:rFonts w:hint="eastAsia" w:ascii="宋体" w:hAnsi="宋体" w:eastAsia="宋体" w:cs="宋体"/>
          <w:sz w:val="28"/>
          <w:szCs w:val="28"/>
        </w:rPr>
      </w:pPr>
      <w:r>
        <w:rPr>
          <w:rFonts w:hint="eastAsia" w:ascii="宋体" w:hAnsi="宋体" w:cs="宋体"/>
          <w:sz w:val="28"/>
          <w:szCs w:val="28"/>
          <w:lang w:val="en-US" w:eastAsia="zh-CN"/>
        </w:rPr>
        <w:t>最大</w:t>
      </w:r>
      <w:r>
        <w:rPr>
          <w:rFonts w:hint="eastAsia" w:ascii="宋体" w:hAnsi="宋体" w:eastAsia="宋体" w:cs="宋体"/>
          <w:sz w:val="28"/>
          <w:szCs w:val="28"/>
        </w:rPr>
        <w:t>托罐力：≥</w:t>
      </w:r>
      <w:r>
        <w:rPr>
          <w:rFonts w:hint="eastAsia" w:ascii="宋体" w:hAnsi="宋体" w:eastAsia="宋体" w:cs="宋体"/>
          <w:sz w:val="28"/>
          <w:szCs w:val="28"/>
          <w:lang w:val="en-US" w:eastAsia="zh-CN"/>
        </w:rPr>
        <w:t>4000</w:t>
      </w:r>
      <w:r>
        <w:rPr>
          <w:rFonts w:hint="eastAsia" w:ascii="宋体" w:hAnsi="宋体" w:eastAsia="宋体" w:cs="宋体"/>
          <w:sz w:val="28"/>
          <w:szCs w:val="28"/>
        </w:rPr>
        <w:t xml:space="preserve"> kN  </w:t>
      </w:r>
    </w:p>
    <w:p>
      <w:pPr>
        <w:keepNext w:val="0"/>
        <w:keepLines w:val="0"/>
        <w:pageBreakBefore w:val="0"/>
        <w:widowControl w:val="0"/>
        <w:kinsoku/>
        <w:wordWrap/>
        <w:overflowPunct/>
        <w:topLinePunct w:val="0"/>
        <w:bidi w:val="0"/>
        <w:snapToGrid/>
        <w:spacing w:line="520" w:lineRule="exact"/>
        <w:ind w:left="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每组最大缓冲能量：5.76 MJ</w:t>
      </w:r>
    </w:p>
    <w:p>
      <w:pPr>
        <w:keepNext w:val="0"/>
        <w:keepLines w:val="0"/>
        <w:pageBreakBefore w:val="0"/>
        <w:widowControl w:val="0"/>
        <w:numPr>
          <w:ilvl w:val="0"/>
          <w:numId w:val="0"/>
        </w:numPr>
        <w:kinsoku/>
        <w:wordWrap/>
        <w:overflowPunct/>
        <w:topLinePunct w:val="0"/>
        <w:bidi w:val="0"/>
        <w:snapToGrid/>
        <w:spacing w:line="520" w:lineRule="exact"/>
        <w:ind w:firstLine="562" w:firstLineChars="200"/>
        <w:textAlignment w:val="auto"/>
        <w:rPr>
          <w:rFonts w:hint="eastAsia" w:ascii="宋体" w:hAnsi="宋体" w:eastAsia="宋体" w:cs="宋体"/>
          <w:sz w:val="28"/>
          <w:szCs w:val="28"/>
          <w:lang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rPr>
        <w:t>技术要求</w:t>
      </w:r>
      <w:r>
        <w:rPr>
          <w:rFonts w:hint="eastAsia" w:ascii="宋体" w:hAnsi="宋体" w:eastAsia="宋体" w:cs="宋体"/>
          <w:color w:val="000000"/>
          <w:sz w:val="28"/>
          <w:szCs w:val="28"/>
        </w:rPr>
        <w:t>
</w:t>
      </w:r>
    </w:p>
    <w:p>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b w:val="0"/>
          <w:bCs/>
          <w:sz w:val="28"/>
          <w:szCs w:val="28"/>
          <w:lang w:val="en-US" w:eastAsia="zh-CN"/>
        </w:rPr>
        <w:t xml:space="preserve">HGJ-1200/12/800M </w:t>
      </w:r>
      <w:r>
        <w:rPr>
          <w:rFonts w:hint="eastAsia" w:ascii="宋体" w:hAnsi="宋体" w:eastAsia="宋体" w:cs="宋体"/>
          <w:sz w:val="28"/>
          <w:szCs w:val="28"/>
        </w:rPr>
        <w:t>立井提升过卷缓冲托罐装置/过放缓冲装置应满足《煤矿安全规程》（20</w:t>
      </w:r>
      <w:r>
        <w:rPr>
          <w:rFonts w:hint="eastAsia" w:ascii="宋体" w:hAnsi="宋体" w:cs="宋体"/>
          <w:sz w:val="28"/>
          <w:szCs w:val="28"/>
          <w:lang w:val="en-US" w:eastAsia="zh-CN"/>
        </w:rPr>
        <w:t>22</w:t>
      </w:r>
      <w:r>
        <w:rPr>
          <w:rFonts w:hint="eastAsia" w:ascii="宋体" w:hAnsi="宋体" w:eastAsia="宋体" w:cs="宋体"/>
          <w:sz w:val="28"/>
          <w:szCs w:val="28"/>
        </w:rPr>
        <w:t>版）第406、407条对托罐装置、过卷缓冲装置、过放缓冲装置提出的相关要求。</w:t>
      </w:r>
    </w:p>
    <w:p>
      <w:pPr>
        <w:pStyle w:val="6"/>
        <w:keepNext w:val="0"/>
        <w:keepLines w:val="0"/>
        <w:pageBreakBefore w:val="0"/>
        <w:widowControl w:val="0"/>
        <w:kinsoku/>
        <w:wordWrap/>
        <w:overflowPunct/>
        <w:topLinePunct w:val="0"/>
        <w:bidi w:val="0"/>
        <w:snapToGrid/>
        <w:spacing w:before="0" w:after="0" w:line="520" w:lineRule="exact"/>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b w:val="0"/>
          <w:bCs/>
          <w:sz w:val="28"/>
          <w:szCs w:val="28"/>
          <w:lang w:val="en-US" w:eastAsia="zh-CN"/>
        </w:rPr>
        <w:t>HGF-1200/12/800M</w:t>
      </w:r>
      <w:r>
        <w:rPr>
          <w:rFonts w:hint="eastAsia" w:ascii="宋体" w:hAnsi="宋体" w:eastAsia="宋体" w:cs="宋体"/>
          <w:sz w:val="28"/>
          <w:szCs w:val="28"/>
        </w:rPr>
        <w:t>立井提升过放缓冲装置应满足《立井提升防过卷（过放）缓冲托罐装置安全标志管理方案》</w:t>
      </w:r>
      <w:r>
        <w:rPr>
          <w:rFonts w:hint="eastAsia" w:ascii="宋体" w:hAnsi="宋体" w:eastAsia="宋体" w:cs="宋体"/>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对过卷</w:t>
      </w:r>
      <w:r>
        <w:rPr>
          <w:rFonts w:hint="eastAsia" w:ascii="宋体" w:hAnsi="宋体" w:eastAsia="宋体" w:cs="宋体"/>
          <w:sz w:val="28"/>
          <w:szCs w:val="28"/>
          <w:lang w:val="en-US" w:eastAsia="zh-CN"/>
        </w:rPr>
        <w:t>(过放）</w:t>
      </w:r>
      <w:r>
        <w:rPr>
          <w:rFonts w:hint="eastAsia" w:ascii="宋体" w:hAnsi="宋体" w:eastAsia="宋体" w:cs="宋体"/>
          <w:sz w:val="28"/>
          <w:szCs w:val="28"/>
        </w:rPr>
        <w:t>缓冲托罐装置</w:t>
      </w:r>
      <w:r>
        <w:rPr>
          <w:rFonts w:hint="eastAsia" w:ascii="宋体" w:hAnsi="宋体" w:eastAsia="宋体" w:cs="宋体"/>
          <w:sz w:val="28"/>
          <w:szCs w:val="28"/>
          <w:lang w:val="en-US" w:eastAsia="zh-CN"/>
        </w:rPr>
        <w:t>产品技术</w:t>
      </w:r>
      <w:r>
        <w:rPr>
          <w:rFonts w:hint="eastAsia" w:ascii="宋体" w:hAnsi="宋体" w:eastAsia="宋体" w:cs="宋体"/>
          <w:sz w:val="28"/>
          <w:szCs w:val="28"/>
        </w:rPr>
        <w:t>要求</w:t>
      </w:r>
      <w:r>
        <w:rPr>
          <w:rFonts w:hint="eastAsia" w:ascii="宋体" w:hAnsi="宋体" w:eastAsia="宋体" w:cs="宋体"/>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52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防过卷装置：用于罐笼提升时不大于 1g ；用于箕斗提升时不 大于 3g 。</w:t>
      </w:r>
    </w:p>
    <w:p>
      <w:pPr>
        <w:pStyle w:val="6"/>
        <w:keepNext w:val="0"/>
        <w:keepLines w:val="0"/>
        <w:pageBreakBefore w:val="0"/>
        <w:widowControl w:val="0"/>
        <w:kinsoku/>
        <w:wordWrap/>
        <w:overflowPunct/>
        <w:topLinePunct w:val="0"/>
        <w:autoSpaceDE/>
        <w:autoSpaceDN/>
        <w:bidi w:val="0"/>
        <w:adjustRightInd/>
        <w:snapToGrid/>
        <w:spacing w:before="0" w:after="0" w:line="52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防过放装置：用于缠绕式罐笼提升时不大于 3g ；用于缠绕式箕斗提升时不大于 3.5g ；用于摩擦式提升时不大于 2g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⑶、过卷保护装置动作时应能实现逐步加载，以减少冲击。</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⑷、过卷保护装置制动后容器不能有反向下滑。</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⑸、托罐装置托爪具有限位装置，防止托爪误动作。托罐装置和缓冲装置具有快速复位功能。</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⑹、过卷</w:t>
      </w:r>
      <w:r>
        <w:rPr>
          <w:rFonts w:hint="eastAsia" w:ascii="宋体" w:hAnsi="宋体" w:eastAsia="宋体" w:cs="宋体"/>
          <w:sz w:val="28"/>
          <w:szCs w:val="28"/>
          <w:lang w:val="en-US" w:eastAsia="zh-CN"/>
        </w:rPr>
        <w:t>过放</w:t>
      </w:r>
      <w:r>
        <w:rPr>
          <w:rFonts w:hint="eastAsia" w:ascii="宋体" w:hAnsi="宋体" w:eastAsia="宋体" w:cs="宋体"/>
          <w:sz w:val="28"/>
          <w:szCs w:val="28"/>
        </w:rPr>
        <w:t>制动距离、减速度、断绳后容器下落距离、零部件安全系数必须满足相关安全规程、设计规范的要求；要求反应迅速、动作准确、安全可靠，制动过程中不允许有反弹。</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⑺、过卷</w:t>
      </w:r>
      <w:r>
        <w:rPr>
          <w:rFonts w:hint="eastAsia" w:ascii="宋体" w:hAnsi="宋体" w:eastAsia="宋体" w:cs="宋体"/>
          <w:sz w:val="28"/>
          <w:szCs w:val="28"/>
          <w:lang w:val="en-US" w:eastAsia="zh-CN"/>
        </w:rPr>
        <w:t>过放</w:t>
      </w:r>
      <w:r>
        <w:rPr>
          <w:rFonts w:hint="eastAsia" w:ascii="宋体" w:hAnsi="宋体" w:eastAsia="宋体" w:cs="宋体"/>
          <w:sz w:val="28"/>
          <w:szCs w:val="28"/>
        </w:rPr>
        <w:t>保护装置的构件采用有效的防腐处理，应适应淋水粉尘等恶劣环境下工作。</w:t>
      </w:r>
    </w:p>
    <w:p>
      <w:pPr>
        <w:keepNext w:val="0"/>
        <w:keepLines w:val="0"/>
        <w:pageBreakBefore w:val="0"/>
        <w:widowControl w:val="0"/>
        <w:kinsoku/>
        <w:wordWrap/>
        <w:overflowPunct/>
        <w:topLinePunct w:val="0"/>
        <w:bidi w:val="0"/>
        <w:snapToGrid/>
        <w:spacing w:line="520" w:lineRule="exact"/>
        <w:ind w:left="0" w:firstLine="514" w:firstLineChars="200"/>
        <w:textAlignment w:val="auto"/>
        <w:rPr>
          <w:rFonts w:hint="eastAsia" w:ascii="宋体" w:hAnsi="宋体" w:eastAsia="宋体" w:cs="宋体"/>
          <w:b/>
          <w:bCs/>
          <w:sz w:val="28"/>
          <w:szCs w:val="28"/>
          <w:lang w:val="en-US" w:eastAsia="zh-CN"/>
        </w:rPr>
      </w:pPr>
      <w:r>
        <w:rPr>
          <w:rFonts w:hint="eastAsia" w:ascii="宋体" w:hAnsi="宋体" w:cs="宋体"/>
          <w:b/>
          <w:bCs/>
          <w:spacing w:val="-12"/>
          <w:sz w:val="28"/>
          <w:szCs w:val="28"/>
          <w:lang w:val="en-US" w:eastAsia="zh-CN"/>
        </w:rPr>
        <w:t>5</w:t>
      </w:r>
      <w:r>
        <w:rPr>
          <w:rFonts w:hint="eastAsia" w:ascii="宋体" w:hAnsi="宋体" w:eastAsia="宋体" w:cs="宋体"/>
          <w:b/>
          <w:bCs/>
          <w:spacing w:val="-10"/>
          <w:sz w:val="28"/>
          <w:szCs w:val="28"/>
        </w:rPr>
        <w:t>、</w:t>
      </w:r>
      <w:r>
        <w:rPr>
          <w:rFonts w:hint="eastAsia" w:ascii="宋体" w:hAnsi="宋体" w:eastAsia="宋体" w:cs="宋体"/>
          <w:b/>
          <w:bCs/>
          <w:spacing w:val="-10"/>
          <w:sz w:val="28"/>
          <w:szCs w:val="28"/>
          <w:lang w:val="en-US" w:eastAsia="zh-CN"/>
        </w:rPr>
        <w:t>更换安装技术要求</w:t>
      </w:r>
    </w:p>
    <w:p>
      <w:pPr>
        <w:keepNext w:val="0"/>
        <w:keepLines w:val="0"/>
        <w:pageBreakBefore w:val="0"/>
        <w:widowControl w:val="0"/>
        <w:kinsoku/>
        <w:wordWrap/>
        <w:overflowPunct/>
        <w:topLinePunct w:val="0"/>
        <w:bidi w:val="0"/>
        <w:snapToGrid/>
        <w:spacing w:line="520" w:lineRule="exact"/>
        <w:ind w:left="0" w:firstLine="536" w:firstLineChars="200"/>
        <w:textAlignment w:val="auto"/>
        <w:rPr>
          <w:rFonts w:hint="eastAsia" w:ascii="宋体" w:hAnsi="宋体" w:eastAsia="宋体" w:cs="宋体"/>
          <w:sz w:val="28"/>
          <w:szCs w:val="28"/>
        </w:rPr>
      </w:pPr>
      <w:r>
        <w:rPr>
          <w:rFonts w:hint="eastAsia" w:ascii="宋体" w:hAnsi="宋体" w:eastAsia="宋体" w:cs="宋体"/>
          <w:spacing w:val="-6"/>
          <w:sz w:val="28"/>
          <w:szCs w:val="28"/>
          <w:lang w:val="en-US" w:eastAsia="zh-CN"/>
        </w:rPr>
        <w:t>1</w:t>
      </w:r>
      <w:r>
        <w:rPr>
          <w:rFonts w:hint="eastAsia" w:ascii="宋体" w:hAnsi="宋体" w:eastAsia="宋体" w:cs="宋体"/>
          <w:spacing w:val="-6"/>
          <w:sz w:val="28"/>
          <w:szCs w:val="28"/>
        </w:rPr>
        <w:t>)、</w:t>
      </w:r>
      <w:r>
        <w:rPr>
          <w:rFonts w:hint="eastAsia" w:ascii="宋体" w:hAnsi="宋体" w:eastAsia="宋体" w:cs="宋体"/>
          <w:spacing w:val="-3"/>
          <w:sz w:val="28"/>
          <w:szCs w:val="28"/>
        </w:rPr>
        <w:t>缓冲装置到防撞梁的距离应不小于设计的缓冲距离要求；</w:t>
      </w:r>
    </w:p>
    <w:p>
      <w:pPr>
        <w:keepNext w:val="0"/>
        <w:keepLines w:val="0"/>
        <w:pageBreakBefore w:val="0"/>
        <w:widowControl w:val="0"/>
        <w:kinsoku/>
        <w:wordWrap/>
        <w:overflowPunct/>
        <w:topLinePunct w:val="0"/>
        <w:bidi w:val="0"/>
        <w:snapToGrid/>
        <w:spacing w:line="520" w:lineRule="exact"/>
        <w:ind w:left="0" w:firstLine="540" w:firstLineChars="200"/>
        <w:textAlignment w:val="auto"/>
        <w:rPr>
          <w:rFonts w:hint="eastAsia" w:ascii="宋体" w:hAnsi="宋体" w:eastAsia="宋体" w:cs="宋体"/>
          <w:sz w:val="28"/>
          <w:szCs w:val="28"/>
        </w:rPr>
      </w:pPr>
      <w:r>
        <w:rPr>
          <w:rFonts w:hint="eastAsia" w:ascii="宋体" w:hAnsi="宋体" w:eastAsia="宋体" w:cs="宋体"/>
          <w:spacing w:val="-5"/>
          <w:sz w:val="28"/>
          <w:szCs w:val="28"/>
          <w:lang w:val="en-US" w:eastAsia="zh-CN"/>
        </w:rPr>
        <w:t>2</w:t>
      </w:r>
      <w:r>
        <w:rPr>
          <w:rFonts w:hint="eastAsia" w:ascii="宋体" w:hAnsi="宋体" w:eastAsia="宋体" w:cs="宋体"/>
          <w:spacing w:val="-4"/>
          <w:sz w:val="28"/>
          <w:szCs w:val="28"/>
        </w:rPr>
        <w:t>)、用水平管检测缓冲梁的各个角应尽量保证在同一水平面；</w:t>
      </w:r>
    </w:p>
    <w:p>
      <w:pPr>
        <w:keepNext w:val="0"/>
        <w:keepLines w:val="0"/>
        <w:pageBreakBefore w:val="0"/>
        <w:widowControl w:val="0"/>
        <w:kinsoku/>
        <w:wordWrap/>
        <w:overflowPunct/>
        <w:topLinePunct w:val="0"/>
        <w:bidi w:val="0"/>
        <w:snapToGrid/>
        <w:spacing w:line="520" w:lineRule="exact"/>
        <w:ind w:left="0" w:firstLine="564" w:firstLineChars="200"/>
        <w:textAlignment w:val="auto"/>
        <w:rPr>
          <w:rFonts w:hint="eastAsia" w:ascii="宋体" w:hAnsi="宋体" w:eastAsia="宋体" w:cs="宋体"/>
          <w:sz w:val="28"/>
          <w:szCs w:val="28"/>
        </w:rPr>
      </w:pPr>
      <w:r>
        <w:rPr>
          <w:rFonts w:hint="eastAsia" w:ascii="宋体" w:hAnsi="宋体" w:eastAsia="宋体" w:cs="宋体"/>
          <w:spacing w:val="1"/>
          <w:sz w:val="28"/>
          <w:szCs w:val="28"/>
          <w:lang w:val="en-US" w:eastAsia="zh-CN"/>
        </w:rPr>
        <w:t>3</w:t>
      </w:r>
      <w:r>
        <w:rPr>
          <w:rFonts w:hint="eastAsia" w:ascii="宋体" w:hAnsi="宋体" w:eastAsia="宋体" w:cs="宋体"/>
          <w:spacing w:val="1"/>
          <w:sz w:val="28"/>
          <w:szCs w:val="28"/>
        </w:rPr>
        <w:t>)、</w:t>
      </w:r>
      <w:r>
        <w:rPr>
          <w:rFonts w:hint="eastAsia" w:ascii="宋体" w:hAnsi="宋体" w:eastAsia="宋体" w:cs="宋体"/>
          <w:spacing w:val="1"/>
          <w:sz w:val="28"/>
          <w:szCs w:val="28"/>
          <w:lang w:val="en-US" w:eastAsia="zh-CN"/>
        </w:rPr>
        <w:t>保证</w:t>
      </w:r>
      <w:r>
        <w:rPr>
          <w:rFonts w:hint="eastAsia" w:ascii="宋体" w:hAnsi="宋体" w:eastAsia="宋体" w:cs="宋体"/>
          <w:spacing w:val="1"/>
          <w:sz w:val="28"/>
          <w:szCs w:val="28"/>
        </w:rPr>
        <w:t>各处的焊</w:t>
      </w:r>
      <w:r>
        <w:rPr>
          <w:rFonts w:hint="eastAsia" w:ascii="宋体" w:hAnsi="宋体" w:eastAsia="宋体" w:cs="宋体"/>
          <w:sz w:val="28"/>
          <w:szCs w:val="28"/>
        </w:rPr>
        <w:t>接质量。</w:t>
      </w:r>
    </w:p>
    <w:p>
      <w:pPr>
        <w:pStyle w:val="10"/>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hAnsi="宋体" w:cs="宋体"/>
          <w:sz w:val="28"/>
          <w:szCs w:val="28"/>
          <w:lang w:val="en-US" w:eastAsia="zh-CN"/>
        </w:rPr>
        <w:t>）</w:t>
      </w:r>
      <w:r>
        <w:rPr>
          <w:rFonts w:hint="eastAsia" w:ascii="宋体" w:hAnsi="宋体" w:eastAsia="宋体" w:cs="宋体"/>
          <w:sz w:val="28"/>
          <w:szCs w:val="28"/>
          <w:lang w:val="en-US" w:eastAsia="zh-CN"/>
        </w:rPr>
        <w:t>、</w:t>
      </w:r>
      <w:r>
        <w:rPr>
          <w:rFonts w:hint="eastAsia" w:ascii="宋体" w:hAnsi="宋体" w:eastAsia="宋体" w:cs="宋体"/>
          <w:spacing w:val="-3"/>
          <w:sz w:val="28"/>
          <w:szCs w:val="28"/>
        </w:rPr>
        <w:t>将各连接钢丝绳的松紧度调整一致</w:t>
      </w:r>
      <w:r>
        <w:rPr>
          <w:rFonts w:hint="eastAsia" w:ascii="宋体" w:hAnsi="宋体" w:eastAsia="宋体" w:cs="宋体"/>
          <w:sz w:val="28"/>
          <w:szCs w:val="28"/>
        </w:rPr>
        <w:t xml:space="preserve">。 </w:t>
      </w:r>
    </w:p>
    <w:p>
      <w:pPr>
        <w:pStyle w:val="2"/>
        <w:pageBreakBefore w:val="0"/>
        <w:kinsoku/>
        <w:wordWrap/>
        <w:overflowPunct/>
        <w:topLinePunct w:val="0"/>
        <w:bidi w:val="0"/>
        <w:spacing w:after="0" w:afterLines="0" w:line="520" w:lineRule="exact"/>
        <w:ind w:left="0" w:leftChars="0" w:firstLine="562" w:firstLineChars="200"/>
        <w:textAlignment w:val="auto"/>
        <w:rPr>
          <w:rFonts w:hint="default" w:ascii="宋体" w:hAnsi="宋体" w:eastAsia="宋体" w:cs="宋体"/>
          <w:b/>
          <w:bCs/>
          <w:i w:val="0"/>
          <w:iCs w:val="0"/>
          <w:caps w:val="0"/>
          <w:color w:val="auto"/>
          <w:spacing w:val="0"/>
          <w:sz w:val="28"/>
          <w:szCs w:val="28"/>
          <w:shd w:val="clear" w:fill="FFFFFF"/>
          <w:lang w:val="en-US" w:eastAsia="zh-CN"/>
        </w:rPr>
      </w:pPr>
      <w:r>
        <w:rPr>
          <w:rFonts w:hint="eastAsia" w:ascii="宋体" w:hAnsi="宋体" w:cs="宋体"/>
          <w:b/>
          <w:bCs/>
          <w:i w:val="0"/>
          <w:iCs w:val="0"/>
          <w:caps w:val="0"/>
          <w:color w:val="auto"/>
          <w:spacing w:val="0"/>
          <w:sz w:val="28"/>
          <w:szCs w:val="28"/>
          <w:shd w:val="clear" w:fill="FFFFFF"/>
          <w:lang w:val="en-US" w:eastAsia="zh-CN"/>
        </w:rPr>
        <w:t>七</w:t>
      </w:r>
      <w:r>
        <w:rPr>
          <w:rFonts w:hint="eastAsia" w:ascii="宋体" w:hAnsi="宋体" w:eastAsia="宋体" w:cs="宋体"/>
          <w:b/>
          <w:bCs/>
          <w:i w:val="0"/>
          <w:iCs w:val="0"/>
          <w:caps w:val="0"/>
          <w:color w:val="auto"/>
          <w:spacing w:val="0"/>
          <w:sz w:val="28"/>
          <w:szCs w:val="28"/>
          <w:shd w:val="clear" w:fill="FFFFFF"/>
          <w:lang w:val="en-US" w:eastAsia="zh-CN"/>
        </w:rPr>
        <w:t>、其它要求</w:t>
      </w:r>
    </w:p>
    <w:p>
      <w:pPr>
        <w:keepNext w:val="0"/>
        <w:keepLines w:val="0"/>
        <w:pageBreakBefore w:val="0"/>
        <w:widowControl w:val="0"/>
        <w:kinsoku/>
        <w:wordWrap/>
        <w:overflowPunct/>
        <w:topLinePunct w:val="0"/>
        <w:bidi w:val="0"/>
        <w:snapToGrid/>
        <w:spacing w:line="520" w:lineRule="exact"/>
        <w:ind w:firstLine="562" w:firstLineChars="200"/>
        <w:textAlignment w:val="auto"/>
        <w:rPr>
          <w:rFonts w:hint="eastAsia" w:ascii="宋体" w:hAnsi="宋体" w:eastAsia="宋体" w:cs="宋体"/>
          <w:sz w:val="28"/>
          <w:szCs w:val="28"/>
        </w:rPr>
      </w:pPr>
      <w:r>
        <w:rPr>
          <w:rFonts w:hint="eastAsia" w:ascii="宋体" w:hAnsi="宋体" w:cs="宋体"/>
          <w:b/>
          <w:bCs/>
          <w:sz w:val="28"/>
          <w:szCs w:val="28"/>
          <w:lang w:val="en-US" w:eastAsia="zh-CN"/>
        </w:rPr>
        <w:t>1</w:t>
      </w:r>
      <w:r>
        <w:rPr>
          <w:rFonts w:hint="eastAsia" w:ascii="宋体" w:hAnsi="宋体" w:eastAsia="宋体" w:cs="宋体"/>
          <w:b/>
          <w:bCs/>
          <w:sz w:val="28"/>
          <w:szCs w:val="28"/>
        </w:rPr>
        <w:t>、质量</w:t>
      </w:r>
      <w:r>
        <w:rPr>
          <w:rFonts w:hint="eastAsia" w:ascii="宋体" w:hAnsi="宋体" w:cs="宋体"/>
          <w:b/>
          <w:bCs/>
          <w:sz w:val="28"/>
          <w:szCs w:val="28"/>
          <w:lang w:val="en-US" w:eastAsia="zh-CN"/>
        </w:rPr>
        <w:t>保障</w:t>
      </w:r>
      <w:r>
        <w:rPr>
          <w:rFonts w:hint="eastAsia" w:ascii="宋体" w:hAnsi="宋体" w:eastAsia="宋体" w:cs="宋体"/>
          <w:b/>
          <w:bCs/>
          <w:sz w:val="28"/>
          <w:szCs w:val="28"/>
          <w:lang w:val="en-US" w:eastAsia="zh-CN"/>
        </w:rPr>
        <w:t>要求</w:t>
      </w:r>
      <w:r>
        <w:rPr>
          <w:rFonts w:hint="eastAsia" w:ascii="宋体" w:hAnsi="宋体" w:eastAsia="宋体" w:cs="宋体"/>
          <w:b/>
          <w:bCs/>
          <w:sz w:val="28"/>
          <w:szCs w:val="28"/>
        </w:rPr>
        <w:t xml:space="preserve"> </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、严格按照国家关于质量三包规定，设备的质保期为到货安装调试正常使用后起12个月。</w:t>
      </w:r>
    </w:p>
    <w:p>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、保质期内出现的质量问题由</w:t>
      </w:r>
      <w:r>
        <w:rPr>
          <w:rFonts w:hint="eastAsia" w:ascii="宋体" w:hAnsi="宋体" w:eastAsia="宋体" w:cs="宋体"/>
          <w:sz w:val="28"/>
          <w:szCs w:val="28"/>
          <w:lang w:val="en-US" w:eastAsia="zh-CN"/>
        </w:rPr>
        <w:t>甲</w:t>
      </w:r>
      <w:r>
        <w:rPr>
          <w:rFonts w:hint="eastAsia" w:ascii="宋体" w:hAnsi="宋体" w:eastAsia="宋体" w:cs="宋体"/>
          <w:sz w:val="28"/>
          <w:szCs w:val="28"/>
        </w:rPr>
        <w:t>方无偿解决，并延长质保期，由于非正常使用因素造成的损坏除外。</w:t>
      </w:r>
    </w:p>
    <w:p>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甲方</w:t>
      </w:r>
      <w:r>
        <w:rPr>
          <w:rFonts w:hint="eastAsia" w:ascii="宋体" w:hAnsi="宋体" w:eastAsia="宋体" w:cs="宋体"/>
          <w:sz w:val="28"/>
          <w:szCs w:val="28"/>
        </w:rPr>
        <w:t>保证提供的货物是全新的、未使用过的，采用优质材料和先进工艺制造的，并在各个方面符合合同规定的质量、规格和性能要求。</w:t>
      </w:r>
    </w:p>
    <w:p>
      <w:pPr>
        <w:keepNext w:val="0"/>
        <w:keepLines w:val="0"/>
        <w:pageBreakBefore w:val="0"/>
        <w:widowControl w:val="0"/>
        <w:kinsoku/>
        <w:wordWrap/>
        <w:overflowPunct/>
        <w:topLinePunct w:val="0"/>
        <w:bidi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eastAsia="宋体" w:cs="宋体"/>
          <w:b/>
          <w:bCs/>
          <w:sz w:val="28"/>
          <w:szCs w:val="28"/>
        </w:rPr>
        <w:t>、技术服务</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甲</w:t>
      </w:r>
      <w:r>
        <w:rPr>
          <w:rFonts w:hint="eastAsia" w:ascii="宋体" w:hAnsi="宋体" w:eastAsia="宋体" w:cs="宋体"/>
          <w:sz w:val="28"/>
          <w:szCs w:val="28"/>
        </w:rPr>
        <w:t>方负责过卷</w:t>
      </w:r>
      <w:r>
        <w:rPr>
          <w:rFonts w:hint="eastAsia" w:ascii="宋体" w:hAnsi="宋体" w:eastAsia="宋体" w:cs="宋体"/>
          <w:sz w:val="28"/>
          <w:szCs w:val="28"/>
          <w:lang w:val="en-US" w:eastAsia="zh-CN"/>
        </w:rPr>
        <w:t>和过放</w:t>
      </w:r>
      <w:r>
        <w:rPr>
          <w:rFonts w:hint="eastAsia" w:ascii="宋体" w:hAnsi="宋体" w:eastAsia="宋体" w:cs="宋体"/>
          <w:sz w:val="28"/>
          <w:szCs w:val="28"/>
        </w:rPr>
        <w:t>缓冲托罐装置的</w:t>
      </w:r>
      <w:r>
        <w:rPr>
          <w:rFonts w:hint="eastAsia" w:ascii="宋体" w:hAnsi="宋体" w:eastAsia="宋体" w:cs="宋体"/>
          <w:sz w:val="28"/>
          <w:szCs w:val="28"/>
          <w:lang w:val="en-US" w:eastAsia="zh-CN"/>
        </w:rPr>
        <w:t>制造</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及</w:t>
      </w:r>
      <w:r>
        <w:rPr>
          <w:rFonts w:hint="eastAsia" w:ascii="宋体" w:hAnsi="宋体" w:eastAsia="宋体" w:cs="宋体"/>
          <w:sz w:val="28"/>
          <w:szCs w:val="28"/>
        </w:rPr>
        <w:t>现场</w:t>
      </w:r>
      <w:r>
        <w:rPr>
          <w:rFonts w:hint="eastAsia" w:ascii="宋体" w:hAnsi="宋体" w:eastAsia="宋体" w:cs="宋体"/>
          <w:sz w:val="28"/>
          <w:szCs w:val="28"/>
          <w:lang w:val="en-US" w:eastAsia="zh-CN"/>
        </w:rPr>
        <w:t>更换</w:t>
      </w:r>
      <w:r>
        <w:rPr>
          <w:rFonts w:hint="eastAsia" w:ascii="宋体" w:hAnsi="宋体" w:eastAsia="宋体" w:cs="宋体"/>
          <w:sz w:val="28"/>
          <w:szCs w:val="28"/>
        </w:rPr>
        <w:t>安装、调试，试运行直至达到正常运行。</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甲</w:t>
      </w:r>
      <w:r>
        <w:rPr>
          <w:rFonts w:hint="eastAsia" w:ascii="宋体" w:hAnsi="宋体" w:eastAsia="宋体" w:cs="宋体"/>
          <w:sz w:val="28"/>
          <w:szCs w:val="28"/>
        </w:rPr>
        <w:t>方在现场安装、调试期间要免费为用户提供一天的产品培训课程。</w:t>
      </w:r>
    </w:p>
    <w:p>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、技术资料和图纸</w:t>
      </w:r>
    </w:p>
    <w:p>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甲</w:t>
      </w:r>
      <w:r>
        <w:rPr>
          <w:rFonts w:hint="eastAsia" w:ascii="宋体" w:hAnsi="宋体" w:eastAsia="宋体" w:cs="宋体"/>
          <w:sz w:val="28"/>
          <w:szCs w:val="28"/>
        </w:rPr>
        <w:t>方提供的技术资料包括技术文件、图纸（设备安装图、设备外形尺寸图、设备装配图、原理图、配件图等）、使用说明书等，纸质版资料</w:t>
      </w:r>
      <w:r>
        <w:rPr>
          <w:rFonts w:hint="eastAsia" w:ascii="宋体" w:hAnsi="宋体" w:cs="宋体"/>
          <w:sz w:val="28"/>
          <w:szCs w:val="28"/>
          <w:lang w:val="en-US" w:eastAsia="zh-CN"/>
        </w:rPr>
        <w:t>不少于1</w:t>
      </w:r>
      <w:r>
        <w:rPr>
          <w:rFonts w:hint="eastAsia" w:ascii="宋体" w:hAnsi="宋体" w:eastAsia="宋体" w:cs="宋体"/>
          <w:sz w:val="28"/>
          <w:szCs w:val="28"/>
        </w:rPr>
        <w:t>套。 </w:t>
      </w:r>
    </w:p>
    <w:p>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、设备</w:t>
      </w:r>
      <w:r>
        <w:rPr>
          <w:rFonts w:hint="eastAsia" w:ascii="宋体" w:hAnsi="宋体" w:eastAsia="宋体" w:cs="宋体"/>
          <w:sz w:val="28"/>
          <w:szCs w:val="28"/>
          <w:lang w:val="en-US" w:eastAsia="zh-CN"/>
        </w:rPr>
        <w:t>产品</w:t>
      </w:r>
      <w:r>
        <w:rPr>
          <w:rFonts w:hint="eastAsia" w:ascii="宋体" w:hAnsi="宋体" w:eastAsia="宋体" w:cs="宋体"/>
          <w:sz w:val="28"/>
          <w:szCs w:val="28"/>
        </w:rPr>
        <w:t>必须提供证件：</w:t>
      </w:r>
      <w:r>
        <w:rPr>
          <w:rFonts w:hint="eastAsia" w:ascii="宋体" w:hAnsi="宋体" w:eastAsia="宋体" w:cs="宋体"/>
          <w:b w:val="0"/>
          <w:bCs w:val="0"/>
          <w:sz w:val="28"/>
          <w:szCs w:val="28"/>
        </w:rPr>
        <w:t>矿用产品安全标志</w:t>
      </w:r>
      <w:r>
        <w:rPr>
          <w:rFonts w:hint="eastAsia" w:ascii="宋体" w:hAnsi="宋体" w:eastAsia="宋体" w:cs="宋体"/>
          <w:b w:val="0"/>
          <w:bCs w:val="0"/>
          <w:sz w:val="28"/>
          <w:szCs w:val="28"/>
          <w:lang w:val="en-US" w:eastAsia="zh-CN"/>
        </w:rPr>
        <w:t>MA（安标网可查）</w:t>
      </w:r>
      <w:r>
        <w:rPr>
          <w:rFonts w:hint="eastAsia" w:ascii="宋体" w:hAnsi="宋体" w:eastAsia="宋体" w:cs="宋体"/>
          <w:b w:val="0"/>
          <w:bCs w:val="0"/>
          <w:sz w:val="28"/>
          <w:szCs w:val="28"/>
        </w:rPr>
        <w:t>、</w:t>
      </w:r>
      <w:r>
        <w:rPr>
          <w:rFonts w:hint="eastAsia" w:ascii="宋体" w:hAnsi="宋体" w:eastAsia="宋体" w:cs="宋体"/>
          <w:sz w:val="28"/>
          <w:szCs w:val="28"/>
        </w:rPr>
        <w:t>产品合格证和设备制造、检验记录等。</w:t>
      </w:r>
    </w:p>
    <w:p>
      <w:pPr>
        <w:pStyle w:val="2"/>
        <w:rPr>
          <w:rFonts w:hint="eastAsia"/>
        </w:rPr>
      </w:pPr>
    </w:p>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8FE4B"/>
    <w:multiLevelType w:val="singleLevel"/>
    <w:tmpl w:val="6D68FE4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YzYzMjQ5MDVmZWRlNTljZTUzZmEzNjkxYmExZTQifQ=="/>
  </w:docVars>
  <w:rsids>
    <w:rsidRoot w:val="00000000"/>
    <w:rsid w:val="0765096C"/>
    <w:rsid w:val="20BD6A8C"/>
    <w:rsid w:val="34620B6E"/>
    <w:rsid w:val="39315B03"/>
    <w:rsid w:val="3C544A8D"/>
    <w:rsid w:val="468A6E7E"/>
    <w:rsid w:val="74EF6219"/>
    <w:rsid w:val="78DE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Indent"/>
    <w:basedOn w:val="1"/>
    <w:qFormat/>
    <w:uiPriority w:val="0"/>
    <w:pPr>
      <w:ind w:firstLine="420" w:firstLineChars="200"/>
    </w:pPr>
  </w:style>
  <w:style w:type="paragraph" w:styleId="6">
    <w:name w:val="Body Text"/>
    <w:basedOn w:val="1"/>
    <w:qFormat/>
    <w:uiPriority w:val="0"/>
    <w:pPr>
      <w:spacing w:before="180" w:after="180"/>
    </w:pPr>
  </w:style>
  <w:style w:type="paragraph" w:customStyle="1" w:styleId="9">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2128</Words>
  <Characters>2448</Characters>
  <Lines>0</Lines>
  <Paragraphs>0</Paragraphs>
  <TotalTime>22</TotalTime>
  <ScaleCrop>false</ScaleCrop>
  <LinksUpToDate>false</LinksUpToDate>
  <CharactersWithSpaces>2507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2022-08-29T06:11:00Z</dcterms:created>
  <dc:creator>Administrator</dc:creator>
  <cp:lastModifiedBy>韖</cp:lastModifiedBy>
  <dcterms:modified xsi:type="dcterms:W3CDTF">2022-11-20T00:38:20Z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15D038F8E002416A9D018A108F4BE1B0</vt:lpwstr>
  </property>
</Properties>
</file>