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firstLine="643"/>
        <w:jc w:val="center"/>
        <w:rPr>
          <w:rFonts w:asciiTheme="minorEastAsia" w:hAnsiTheme="minorEastAsia"/>
          <w:color w:val="000000" w:themeColor="text1"/>
          <w:sz w:val="32"/>
          <w:szCs w:val="24"/>
        </w:rPr>
      </w:pPr>
      <w:bookmarkStart w:id="0" w:name="EB906a3a344a8d4a15ae382601c78d668e"/>
      <w:r>
        <w:rPr>
          <w:rFonts w:hint="eastAsia" w:ascii="Calibri" w:eastAsia="宋体"/>
          <w:b/>
          <w:spacing w:val="0"/>
          <w:kern w:val="0"/>
          <w:sz w:val="32"/>
          <w:szCs w:val="24"/>
        </w:rPr>
        <w:t>调度通讯</w:t>
      </w:r>
      <w:r>
        <w:rPr>
          <w:rFonts w:ascii="Calibri" w:eastAsia="宋体"/>
          <w:b/>
          <w:spacing w:val="0"/>
          <w:kern w:val="0"/>
          <w:sz w:val="32"/>
          <w:szCs w:val="24"/>
        </w:rPr>
        <w:t>系统技术规格书</w:t>
      </w:r>
    </w:p>
    <w:bookmarkEnd w:id="0"/>
    <w:p>
      <w:pPr>
        <w:pStyle w:val="15"/>
        <w:spacing w:beforeLines="50" w:afterLines="50"/>
        <w:ind w:firstLine="0" w:firstLineChars="0"/>
        <w:rPr>
          <w:sz w:val="28"/>
          <w:szCs w:val="28"/>
        </w:rPr>
      </w:pPr>
      <w:bookmarkStart w:id="1" w:name="_Toc135933780"/>
      <w:bookmarkStart w:id="2" w:name="_Toc112317430"/>
      <w:bookmarkStart w:id="3" w:name="_Toc122194036"/>
      <w:bookmarkStart w:id="4" w:name="_Toc122232516"/>
      <w:bookmarkStart w:id="5" w:name="_Toc113416751"/>
      <w:bookmarkStart w:id="6" w:name="_Toc122194157"/>
      <w:bookmarkStart w:id="7" w:name="_Toc113185832"/>
      <w:bookmarkStart w:id="8" w:name="_Toc113185831"/>
      <w:bookmarkStart w:id="9" w:name="_Toc125876034"/>
      <w:bookmarkStart w:id="10" w:name="_Toc113160708"/>
      <w:bookmarkStart w:id="11" w:name="_Toc111861316"/>
      <w:bookmarkStart w:id="12" w:name="_Toc113186349"/>
      <w:bookmarkStart w:id="13" w:name="_Toc113160707"/>
      <w:bookmarkStart w:id="14" w:name="_Toc112317429"/>
      <w:bookmarkStart w:id="15" w:name="_Toc122169115"/>
      <w:bookmarkStart w:id="16" w:name="_Toc122193540"/>
      <w:bookmarkStart w:id="17" w:name="_Toc124587081"/>
      <w:bookmarkStart w:id="18" w:name="_Toc112319078"/>
      <w:bookmarkStart w:id="19" w:name="_Toc113161112"/>
      <w:bookmarkStart w:id="20" w:name="_Toc112315446"/>
      <w:bookmarkStart w:id="21" w:name="_Toc111887227"/>
      <w:bookmarkStart w:id="22" w:name="_Toc112432697"/>
      <w:bookmarkStart w:id="23" w:name="_Toc113186638"/>
      <w:bookmarkStart w:id="24" w:name="_Toc113187710"/>
      <w:bookmarkStart w:id="25" w:name="_Toc113161111"/>
      <w:bookmarkStart w:id="26" w:name="_Toc112315447"/>
      <w:bookmarkStart w:id="27" w:name="_Toc122195153"/>
      <w:bookmarkStart w:id="28" w:name="_Toc135379664"/>
      <w:bookmarkStart w:id="29" w:name="_Toc125875565"/>
      <w:bookmarkStart w:id="30" w:name="_Toc112432698"/>
      <w:bookmarkStart w:id="31" w:name="_Toc129157989"/>
      <w:bookmarkStart w:id="32" w:name="_Toc124585234"/>
      <w:bookmarkStart w:id="33" w:name="_Toc124582936"/>
      <w:bookmarkStart w:id="34" w:name="_Toc122233888"/>
      <w:bookmarkStart w:id="35" w:name="_Toc113187874"/>
      <w:bookmarkStart w:id="36" w:name="_Toc113186350"/>
      <w:bookmarkStart w:id="37" w:name="_Toc125879644"/>
      <w:bookmarkStart w:id="38" w:name="_Toc128275936"/>
      <w:bookmarkStart w:id="39" w:name="_Toc112319079"/>
      <w:bookmarkStart w:id="40" w:name="_Toc122194395"/>
      <w:bookmarkStart w:id="41" w:name="_Toc122197392"/>
      <w:bookmarkStart w:id="42" w:name="_Toc128819082"/>
      <w:bookmarkStart w:id="43" w:name="_Toc127086580"/>
      <w:bookmarkStart w:id="44" w:name="_Toc124931488"/>
      <w:bookmarkStart w:id="45" w:name="_Toc128443769"/>
      <w:bookmarkStart w:id="46" w:name="_Toc122192819"/>
      <w:bookmarkStart w:id="47" w:name="_Toc113186639"/>
      <w:r>
        <w:rPr>
          <w:rFonts w:hint="eastAsia"/>
          <w:sz w:val="28"/>
          <w:szCs w:val="28"/>
        </w:rPr>
        <w:t>一、总则</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1.1 本技术规格书适用崔庄煤矿调度通讯系统项目；本规范文件对系统的硬件和软件建设，提出了功能设计、结构、性能、安装等方面的技术要求。</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1.2 招标方在本技术文件中提供了最低限度的技术要求，并未对一切技术细节作出规定，也未充分引述有关标准和规范的条文，投标方应保证提供符合本投标书和工业标准的设备及其相应服务。对国家有关安全、消防等强制性标准，必须满足其要求。</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1.3 如果投标方没有以书面形式对本规范文件条文提出异议，则招标方认为投标方的产品（包括硬件和软件等）将完全满足本技术规范文件的要求。如有异议，应在投标文件的附件差异表加以详细描述。</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1.4 只有招标方有权修改和解释本规范文件。经买卖双方协商，最终确定的规范文件应作为本合同的一个附件，并与合同文件有相同的法律效力。</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1.5 投标产品矿用设备必须具有煤安证书、防爆证书，属于工业生产许可的产品，需提供工业产品生产许可证或CCC证书。</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1.6 投标方应提供满足本规范文件要求所必须的硬件、软件和各项服务。其中包括（但不限于）下列内容：按照合同规定的进度要求，按时发运安装系统设备。</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1.7 本项目投标人必须是应急广播系统设备的设备制造商，本项目不接受代理投标。</w:t>
      </w:r>
    </w:p>
    <w:p>
      <w:pPr>
        <w:pStyle w:val="15"/>
        <w:spacing w:beforeLines="50" w:afterLines="50"/>
        <w:ind w:firstLine="0" w:firstLineChars="0"/>
        <w:rPr>
          <w:sz w:val="28"/>
          <w:szCs w:val="28"/>
        </w:rPr>
      </w:pPr>
      <w:r>
        <w:rPr>
          <w:rFonts w:hint="eastAsia"/>
          <w:sz w:val="28"/>
          <w:szCs w:val="28"/>
        </w:rPr>
        <w:t>二、遵循的标准依据</w:t>
      </w:r>
    </w:p>
    <w:p>
      <w:pPr>
        <w:widowControl/>
        <w:spacing w:line="500" w:lineRule="exact"/>
        <w:ind w:firstLine="470" w:firstLineChars="196"/>
        <w:jc w:val="left"/>
        <w:rPr>
          <w:rFonts w:ascii="宋体" w:hAnsi="宋体"/>
          <w:bCs/>
          <w:sz w:val="24"/>
          <w:szCs w:val="24"/>
        </w:rPr>
      </w:pPr>
      <w:r>
        <w:rPr>
          <w:rFonts w:hint="eastAsia" w:ascii="宋体" w:hAnsi="宋体"/>
          <w:bCs/>
          <w:sz w:val="24"/>
          <w:szCs w:val="24"/>
        </w:rPr>
        <w:t>系统设计和安装调试满足最新版国家标准（GB）和关于煤矿安全监测系统的标准，或高于下述标准的行业标准、规范。</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《煤矿安全规程》（2016版）</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《国家煤矿安监局关于印发&lt;煤矿安全监控系统升级改造技术方案&gt;的通知》（煤安监函[2016]5号）</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《煤矿安全生产在线监测联网备查系统通用技术要求和数据采集标准（试行）》（安监总厅规划[2016]138号）</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《国家安全监管总局关于印发安全生产信息化总体建设方案及相关技术文件的通知》（安监总科技〔2016〕143号）</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《煤矿井下安全避险“六大系统”建设完善基本规范（试行）》（安监总煤装〔2011〕33号）</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 xml:space="preserve">《电子计算机场地通用规范》  GB/T 2887 </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《爆炸性环境 第1部分：设备 通用要求》GB 3836.1-2010</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《爆炸性环境 第2部分：由隔爆外壳“d”保护的设备》GB 3836.2-2010</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《爆炸性环境 第4部分：由本质安全型“i”保护的设备》GB 3836.4-2010</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《微型计算机通用规范 》 GB/T9813</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《系统接地的型式及安全技术要求》 GB14050</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《移动通信双工器电性能要求及测量方法 》GB/T 15491</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《计算机软件开发规范》 GB 8566；</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《通用用电设备配电设计规范》 GB50055</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《煤炭工业矿井设计规范》GB 50215-2005</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《矿山电力设计规范》 GB50070</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《电话自动交换网铃流和信号音技术指标测试方法》</w:t>
      </w:r>
      <w:r>
        <w:rPr>
          <w:rFonts w:asciiTheme="minorEastAsia" w:hAnsiTheme="minorEastAsia" w:eastAsiaTheme="minorEastAsia"/>
          <w:sz w:val="24"/>
        </w:rPr>
        <w:t xml:space="preserve"> GB/T 5443</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《电话自动交换网用户信号技术指标测试方法》</w:t>
      </w:r>
      <w:r>
        <w:rPr>
          <w:rFonts w:asciiTheme="minorEastAsia" w:hAnsiTheme="minorEastAsia" w:eastAsiaTheme="minorEastAsia"/>
          <w:sz w:val="24"/>
        </w:rPr>
        <w:t>GB/T 5444</w:t>
      </w:r>
    </w:p>
    <w:p>
      <w:pPr>
        <w:spacing w:line="360" w:lineRule="auto"/>
        <w:ind w:firstLine="460" w:firstLineChars="192"/>
        <w:rPr>
          <w:rFonts w:asciiTheme="minorEastAsia" w:hAnsiTheme="minorEastAsia" w:eastAsiaTheme="minorEastAsia"/>
          <w:sz w:val="32"/>
          <w:szCs w:val="24"/>
        </w:rPr>
      </w:pPr>
      <w:r>
        <w:rPr>
          <w:rFonts w:hint="eastAsia" w:asciiTheme="minorEastAsia" w:hAnsiTheme="minorEastAsia" w:eastAsiaTheme="minorEastAsia"/>
          <w:sz w:val="24"/>
        </w:rPr>
        <w:t>《程控数字用户自动电话交换机通用技术条件》</w:t>
      </w:r>
      <w:r>
        <w:rPr>
          <w:rFonts w:asciiTheme="minorEastAsia" w:hAnsiTheme="minorEastAsia" w:eastAsiaTheme="minorEastAsia"/>
          <w:sz w:val="24"/>
        </w:rPr>
        <w:t>GB/T 14381</w:t>
      </w:r>
    </w:p>
    <w:p>
      <w:pPr>
        <w:spacing w:line="360" w:lineRule="auto"/>
        <w:ind w:firstLine="460" w:firstLineChars="192"/>
        <w:rPr>
          <w:rFonts w:asciiTheme="minorEastAsia" w:hAnsiTheme="minorEastAsia" w:eastAsiaTheme="minorEastAsia"/>
          <w:sz w:val="24"/>
          <w:szCs w:val="24"/>
        </w:rPr>
      </w:pPr>
      <w:r>
        <w:rPr>
          <w:rFonts w:hint="eastAsia" w:asciiTheme="minorEastAsia" w:hAnsiTheme="minorEastAsia" w:eastAsiaTheme="minorEastAsia"/>
          <w:sz w:val="24"/>
          <w:szCs w:val="24"/>
        </w:rPr>
        <w:t>《电气装置安装工程接地装置施工及验收规范》GB/T50169</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《电话自动交换网多频记发器信号方式》GB/T3377-82</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《电话自动交换网用户信号方式》GB/T3378-82</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《电话自动交换网局间直流信号方式》GB/T3379-82</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《电话自动交换网铃流和信号音》GB/T3380-92</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《中国国内电话网No.1信号方式技术规范》GB GF002-9002.1</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《中国国内电话网No.7信号方式技术规范》GB GF001-9001</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《中国国内电话网No.1信号方式技术规范》GB GF002-9002.1</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《电话自动交换网局间中继数字型线路信号方式》GB3971.2-83</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《电话自动交换网带内带内单脉冲线路信号方式》GB3376-82</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脉冲编码调制通信系统网路数字接口参数</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信息技术设备的无线电干扰极限和测量方法</w:t>
      </w:r>
    </w:p>
    <w:p>
      <w:pPr>
        <w:widowControl/>
        <w:jc w:val="left"/>
        <w:rPr>
          <w:b/>
          <w:kern w:val="0"/>
          <w:sz w:val="24"/>
          <w:szCs w:val="24"/>
        </w:rPr>
      </w:pPr>
      <w:r>
        <w:br w:type="page"/>
      </w:r>
    </w:p>
    <w:p>
      <w:pPr>
        <w:pStyle w:val="15"/>
        <w:spacing w:beforeLines="50" w:afterLines="50"/>
        <w:ind w:firstLine="0" w:firstLineChars="0"/>
        <w:rPr>
          <w:sz w:val="28"/>
          <w:szCs w:val="28"/>
        </w:rPr>
      </w:pPr>
      <w:r>
        <w:rPr>
          <w:rFonts w:hint="eastAsia"/>
          <w:sz w:val="28"/>
          <w:szCs w:val="28"/>
        </w:rPr>
        <w:t>三、调度通讯系统要求</w:t>
      </w:r>
    </w:p>
    <w:p>
      <w:pPr>
        <w:tabs>
          <w:tab w:val="center" w:pos="4486"/>
          <w:tab w:val="left" w:pos="8115"/>
        </w:tabs>
        <w:adjustRightInd w:val="0"/>
        <w:snapToGrid w:val="0"/>
        <w:spacing w:line="480" w:lineRule="auto"/>
        <w:jc w:val="left"/>
        <w:outlineLvl w:val="2"/>
        <w:rPr>
          <w:rFonts w:ascii="宋体" w:hAnsi="宋体"/>
          <w:b/>
          <w:sz w:val="24"/>
          <w:szCs w:val="24"/>
        </w:rPr>
      </w:pPr>
      <w:r>
        <w:rPr>
          <w:rFonts w:ascii="宋体" w:hAnsi="宋体"/>
          <w:b/>
          <w:sz w:val="24"/>
          <w:szCs w:val="24"/>
        </w:rPr>
        <w:t xml:space="preserve">3.1 </w:t>
      </w:r>
      <w:r>
        <w:rPr>
          <w:rFonts w:hint="eastAsia" w:ascii="宋体" w:hAnsi="宋体"/>
          <w:b/>
          <w:sz w:val="24"/>
          <w:szCs w:val="24"/>
        </w:rPr>
        <w:t>系统技术要求</w:t>
      </w:r>
    </w:p>
    <w:p>
      <w:pPr>
        <w:ind w:firstLine="482" w:firstLineChars="200"/>
        <w:rPr>
          <w:rFonts w:asciiTheme="minorEastAsia" w:hAnsiTheme="minorEastAsia" w:eastAsiaTheme="minorEastAsia"/>
          <w:b/>
          <w:sz w:val="24"/>
          <w:szCs w:val="24"/>
        </w:rPr>
      </w:pPr>
      <w:bookmarkStart w:id="48" w:name="_Toc285490155"/>
      <w:r>
        <w:rPr>
          <w:rFonts w:hint="eastAsia" w:asciiTheme="minorEastAsia" w:hAnsiTheme="minorEastAsia" w:eastAsiaTheme="minorEastAsia"/>
          <w:b/>
          <w:sz w:val="24"/>
          <w:szCs w:val="24"/>
        </w:rPr>
        <w:t>1、环境条件</w:t>
      </w:r>
      <w:bookmarkEnd w:id="48"/>
    </w:p>
    <w:p>
      <w:pPr>
        <w:tabs>
          <w:tab w:val="left" w:pos="1040"/>
        </w:tabs>
        <w:spacing w:line="440" w:lineRule="atLeast"/>
        <w:ind w:firstLine="420" w:firstLineChars="200"/>
        <w:rPr>
          <w:rFonts w:ascii="宋体" w:hAnsi="宋体"/>
          <w:szCs w:val="21"/>
        </w:rPr>
      </w:pPr>
      <w:r>
        <w:rPr>
          <w:rFonts w:hint="eastAsia" w:ascii="宋体" w:hAnsi="宋体"/>
          <w:szCs w:val="21"/>
        </w:rPr>
        <w:t>（1）调度交换机、调度台等在下列温、湿度范围内应能正常工作（温、湿度指在地板上2m和设备前方0.4m处测得的数值）。</w:t>
      </w:r>
    </w:p>
    <w:p>
      <w:pPr>
        <w:tabs>
          <w:tab w:val="left" w:pos="1040"/>
        </w:tabs>
        <w:spacing w:line="440" w:lineRule="atLeast"/>
        <w:ind w:firstLine="420" w:firstLineChars="200"/>
        <w:rPr>
          <w:rFonts w:ascii="宋体" w:hAnsi="宋体"/>
          <w:szCs w:val="21"/>
        </w:rPr>
      </w:pPr>
      <w:r>
        <w:rPr>
          <w:rFonts w:hint="eastAsia" w:ascii="宋体" w:hAnsi="宋体"/>
          <w:szCs w:val="21"/>
        </w:rPr>
        <w:t>（2）温度：0℃—45℃。</w:t>
      </w:r>
    </w:p>
    <w:p>
      <w:pPr>
        <w:tabs>
          <w:tab w:val="left" w:pos="1040"/>
        </w:tabs>
        <w:spacing w:line="440" w:lineRule="atLeast"/>
        <w:ind w:firstLine="420" w:firstLineChars="200"/>
        <w:rPr>
          <w:rFonts w:ascii="宋体" w:hAnsi="宋体"/>
          <w:szCs w:val="21"/>
        </w:rPr>
      </w:pPr>
      <w:r>
        <w:rPr>
          <w:rFonts w:hint="eastAsia" w:ascii="宋体" w:hAnsi="宋体"/>
          <w:szCs w:val="21"/>
        </w:rPr>
        <w:t>（3）湿度：20%—90%。</w:t>
      </w:r>
    </w:p>
    <w:p>
      <w:pPr>
        <w:tabs>
          <w:tab w:val="left" w:pos="1040"/>
        </w:tabs>
        <w:spacing w:line="440" w:lineRule="atLeast"/>
        <w:ind w:firstLine="420" w:firstLineChars="200"/>
        <w:rPr>
          <w:rFonts w:ascii="宋体" w:hAnsi="宋体"/>
          <w:szCs w:val="21"/>
        </w:rPr>
      </w:pPr>
      <w:r>
        <w:rPr>
          <w:rFonts w:hint="eastAsia" w:ascii="宋体" w:hAnsi="宋体"/>
          <w:szCs w:val="21"/>
        </w:rPr>
        <w:t>（4）应提出所供设备对环境、温度、湿度（长时间、短时间）以及空调、灰尘、通风、防静电等特殊要求。</w:t>
      </w:r>
    </w:p>
    <w:p>
      <w:pPr>
        <w:tabs>
          <w:tab w:val="left" w:pos="1040"/>
        </w:tabs>
        <w:spacing w:line="440" w:lineRule="atLeast"/>
        <w:ind w:firstLine="420" w:firstLineChars="200"/>
        <w:rPr>
          <w:rFonts w:ascii="宋体" w:hAnsi="宋体"/>
          <w:szCs w:val="21"/>
        </w:rPr>
      </w:pPr>
      <w:r>
        <w:rPr>
          <w:rFonts w:hint="eastAsia" w:ascii="宋体" w:hAnsi="宋体"/>
          <w:szCs w:val="21"/>
        </w:rPr>
        <w:t>（5）提供的所有设备应适应不同的运输条件，并能在无空调条件下运输和仓储。</w:t>
      </w:r>
    </w:p>
    <w:p>
      <w:pPr>
        <w:spacing w:beforeLines="100" w:afterLines="100" w:line="360" w:lineRule="auto"/>
        <w:ind w:firstLine="482" w:firstLineChars="200"/>
        <w:rPr>
          <w:rFonts w:asciiTheme="minorEastAsia" w:hAnsiTheme="minorEastAsia" w:eastAsiaTheme="minorEastAsia"/>
          <w:b/>
          <w:sz w:val="24"/>
          <w:szCs w:val="24"/>
        </w:rPr>
      </w:pPr>
      <w:bookmarkStart w:id="49" w:name="_Toc285490156"/>
      <w:r>
        <w:rPr>
          <w:rFonts w:hint="eastAsia" w:asciiTheme="minorEastAsia" w:hAnsiTheme="minorEastAsia" w:eastAsiaTheme="minorEastAsia"/>
          <w:b/>
          <w:sz w:val="24"/>
          <w:szCs w:val="24"/>
        </w:rPr>
        <w:t>2、系统功能要求</w:t>
      </w:r>
      <w:bookmarkEnd w:id="49"/>
    </w:p>
    <w:p>
      <w:pPr>
        <w:autoSpaceDE w:val="0"/>
        <w:autoSpaceDN w:val="0"/>
        <w:adjustRightInd w:val="0"/>
        <w:snapToGrid w:val="0"/>
        <w:spacing w:line="360" w:lineRule="auto"/>
        <w:ind w:left="297" w:right="98" w:firstLine="422" w:firstLineChars="200"/>
        <w:rPr>
          <w:rFonts w:asciiTheme="minorEastAsia" w:hAnsiTheme="minorEastAsia" w:eastAsiaTheme="minorEastAsia"/>
          <w:kern w:val="0"/>
          <w:szCs w:val="21"/>
        </w:rPr>
      </w:pPr>
      <w:r>
        <w:rPr>
          <w:rFonts w:hint="eastAsia" w:asciiTheme="minorEastAsia" w:hAnsiTheme="minorEastAsia" w:eastAsiaTheme="minorEastAsia"/>
          <w:b/>
          <w:kern w:val="0"/>
          <w:szCs w:val="21"/>
        </w:rPr>
        <w:t>系统应提供如下增强型</w:t>
      </w:r>
      <w:r>
        <w:rPr>
          <w:rFonts w:hint="eastAsia" w:cs="黑体" w:asciiTheme="minorEastAsia" w:hAnsiTheme="minorEastAsia" w:eastAsiaTheme="minorEastAsia"/>
          <w:b/>
          <w:kern w:val="0"/>
          <w:szCs w:val="21"/>
        </w:rPr>
        <w:t>专用调度功能</w:t>
      </w:r>
      <w:r>
        <w:rPr>
          <w:rFonts w:hint="eastAsia" w:asciiTheme="minorEastAsia" w:hAnsiTheme="minorEastAsia" w:eastAsiaTheme="minorEastAsia"/>
          <w:kern w:val="0"/>
          <w:szCs w:val="21"/>
        </w:rPr>
        <w:t>：</w:t>
      </w:r>
    </w:p>
    <w:p>
      <w:pPr>
        <w:numPr>
          <w:ilvl w:val="0"/>
          <w:numId w:val="1"/>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 xml:space="preserve">强大的多优先级强插、强拆     </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全面的监听功能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内外线呼叫等待</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全呼功能、组呼功能、急呼功能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全通道录音功能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紧急呼叫强插调度功能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优先呼叫、等级呼叫</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2组0-12位不等长的全分机编码</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中继接口全面混合汇接,NO7,PRI,ETSI,NO1,R2,环路,磁石等之音任意汇接</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中继汇接字头管理完整,主叫号码加发,扣发,变换,被叫号码加发,扣发</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系统所有字头索引表有8张</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全面中继专线功能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完整的呼叫信息</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kern w:val="0"/>
          <w:szCs w:val="21"/>
        </w:rPr>
      </w:pPr>
      <w:r>
        <w:rPr>
          <w:rFonts w:hint="eastAsia" w:cs="黑体" w:asciiTheme="minorEastAsia" w:hAnsiTheme="minorEastAsia" w:eastAsiaTheme="minorEastAsia"/>
          <w:kern w:val="0"/>
          <w:szCs w:val="21"/>
        </w:rPr>
        <w:t>强大的拨号预处理功能</w:t>
      </w:r>
    </w:p>
    <w:p>
      <w:pPr>
        <w:numPr>
          <w:ilvl w:val="0"/>
          <w:numId w:val="2"/>
        </w:numPr>
        <w:autoSpaceDE w:val="0"/>
        <w:autoSpaceDN w:val="0"/>
        <w:adjustRightInd w:val="0"/>
        <w:snapToGrid w:val="0"/>
        <w:spacing w:line="360" w:lineRule="auto"/>
        <w:ind w:firstLine="420" w:firstLineChars="200"/>
        <w:jc w:val="left"/>
        <w:rPr>
          <w:rFonts w:cs="黑体" w:asciiTheme="minorEastAsia" w:hAnsiTheme="minorEastAsia" w:eastAsiaTheme="minorEastAsia"/>
          <w:color w:val="0000FF"/>
          <w:kern w:val="0"/>
          <w:szCs w:val="21"/>
        </w:rPr>
      </w:pPr>
      <w:r>
        <w:rPr>
          <w:rFonts w:hint="eastAsia" w:cs="黑体" w:asciiTheme="minorEastAsia" w:hAnsiTheme="minorEastAsia" w:eastAsiaTheme="minorEastAsia"/>
          <w:kern w:val="0"/>
          <w:szCs w:val="21"/>
        </w:rPr>
        <w:t>允许内外线全部或部分重号</w:t>
      </w:r>
    </w:p>
    <w:p>
      <w:pPr>
        <w:tabs>
          <w:tab w:val="left" w:pos="284"/>
        </w:tabs>
        <w:autoSpaceDE w:val="0"/>
        <w:autoSpaceDN w:val="0"/>
        <w:adjustRightInd w:val="0"/>
        <w:snapToGrid w:val="0"/>
        <w:spacing w:line="360" w:lineRule="auto"/>
        <w:ind w:left="284" w:right="-272"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ab/>
      </w:r>
      <w:r>
        <w:rPr>
          <w:rFonts w:hint="eastAsia" w:cs="MingLiU" w:asciiTheme="minorEastAsia" w:hAnsiTheme="minorEastAsia" w:eastAsiaTheme="minorEastAsia"/>
          <w:b/>
          <w:kern w:val="0"/>
          <w:szCs w:val="21"/>
        </w:rPr>
        <w:t>中继分组</w:t>
      </w:r>
      <w:r>
        <w:rPr>
          <w:rFonts w:hint="eastAsia" w:cs="MingLiU" w:asciiTheme="minorEastAsia" w:hAnsiTheme="minorEastAsia" w:eastAsiaTheme="minorEastAsia"/>
          <w:kern w:val="0"/>
          <w:szCs w:val="21"/>
        </w:rPr>
        <w:t>接入系统的多条外线可设置不同组别，分配给不同单位或部门独立使用。</w:t>
      </w:r>
    </w:p>
    <w:p>
      <w:pPr>
        <w:tabs>
          <w:tab w:val="left" w:pos="284"/>
        </w:tabs>
        <w:autoSpaceDE w:val="0"/>
        <w:autoSpaceDN w:val="0"/>
        <w:adjustRightInd w:val="0"/>
        <w:snapToGrid w:val="0"/>
        <w:spacing w:line="360" w:lineRule="auto"/>
        <w:ind w:left="284" w:right="-272"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ab/>
      </w:r>
      <w:r>
        <w:rPr>
          <w:rFonts w:hint="eastAsia" w:cs="MingLiU" w:asciiTheme="minorEastAsia" w:hAnsiTheme="minorEastAsia" w:eastAsiaTheme="minorEastAsia"/>
          <w:b/>
          <w:kern w:val="0"/>
          <w:szCs w:val="21"/>
        </w:rPr>
        <w:t>中继局向管理</w:t>
      </w:r>
      <w:r>
        <w:rPr>
          <w:rFonts w:hint="eastAsia" w:cs="MingLiU" w:asciiTheme="minorEastAsia" w:hAnsiTheme="minorEastAsia" w:eastAsiaTheme="minorEastAsia"/>
          <w:kern w:val="0"/>
          <w:szCs w:val="21"/>
        </w:rPr>
        <w:t xml:space="preserve">  系统应根据用户拨的局向号</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自动识别中继组</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并在相应中继组内按顺序选择空闲的中继出局，局向号可设置</w:t>
      </w:r>
      <w:r>
        <w:rPr>
          <w:rFonts w:cs="MingLiU" w:asciiTheme="minorEastAsia" w:hAnsiTheme="minorEastAsia" w:eastAsiaTheme="minorEastAsia"/>
          <w:kern w:val="0"/>
          <w:szCs w:val="21"/>
        </w:rPr>
        <w:t>1-8</w:t>
      </w:r>
      <w:r>
        <w:rPr>
          <w:rFonts w:hint="eastAsia" w:cs="MingLiU" w:asciiTheme="minorEastAsia" w:hAnsiTheme="minorEastAsia" w:eastAsiaTheme="minorEastAsia"/>
          <w:kern w:val="0"/>
          <w:szCs w:val="21"/>
        </w:rPr>
        <w:t>位。</w:t>
      </w:r>
    </w:p>
    <w:p>
      <w:pPr>
        <w:autoSpaceDE w:val="0"/>
        <w:autoSpaceDN w:val="0"/>
        <w:adjustRightInd w:val="0"/>
        <w:snapToGrid w:val="0"/>
        <w:spacing w:line="360" w:lineRule="auto"/>
        <w:ind w:right="-7" w:firstLine="843" w:firstLineChars="4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中继组等级</w:t>
      </w:r>
      <w:r>
        <w:rPr>
          <w:rFonts w:hint="eastAsia" w:cs="MingLiU" w:asciiTheme="minorEastAsia" w:hAnsiTheme="minorEastAsia" w:eastAsiaTheme="minorEastAsia"/>
          <w:kern w:val="0"/>
          <w:szCs w:val="21"/>
        </w:rPr>
        <w:t xml:space="preserve">  除分机等级限制外，还可以实现中继出局等级限制。</w:t>
      </w:r>
    </w:p>
    <w:p>
      <w:pPr>
        <w:tabs>
          <w:tab w:val="left" w:pos="285"/>
        </w:tabs>
        <w:autoSpaceDE w:val="0"/>
        <w:autoSpaceDN w:val="0"/>
        <w:adjustRightInd w:val="0"/>
        <w:snapToGrid w:val="0"/>
        <w:spacing w:line="360" w:lineRule="auto"/>
        <w:ind w:left="540" w:right="-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中继转接方式选择</w:t>
      </w:r>
      <w:r>
        <w:rPr>
          <w:rFonts w:hint="eastAsia" w:cs="MingLiU" w:asciiTheme="minorEastAsia" w:hAnsiTheme="minorEastAsia" w:eastAsiaTheme="minorEastAsia"/>
          <w:kern w:val="0"/>
          <w:szCs w:val="21"/>
        </w:rPr>
        <w:t xml:space="preserve"> 外线打入方式应分直拨、总机转接、群呼三种，直拨分机时可实现音频抢拨。</w:t>
      </w:r>
    </w:p>
    <w:p>
      <w:pPr>
        <w:tabs>
          <w:tab w:val="left" w:pos="285"/>
        </w:tabs>
        <w:autoSpaceDE w:val="0"/>
        <w:autoSpaceDN w:val="0"/>
        <w:adjustRightInd w:val="0"/>
        <w:snapToGrid w:val="0"/>
        <w:spacing w:line="360" w:lineRule="auto"/>
        <w:ind w:left="540" w:right="-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全呼功能</w:t>
      </w:r>
      <w:r>
        <w:rPr>
          <w:rFonts w:hint="eastAsia" w:cs="MingLiU" w:asciiTheme="minorEastAsia" w:hAnsiTheme="minorEastAsia" w:eastAsiaTheme="minorEastAsia"/>
          <w:kern w:val="0"/>
          <w:szCs w:val="21"/>
        </w:rPr>
        <w:t>调度台可以系统内所有分机实现一键全呼功能，所以分机都振铃、并能接听电话。</w:t>
      </w:r>
    </w:p>
    <w:p>
      <w:pPr>
        <w:tabs>
          <w:tab w:val="left" w:pos="285"/>
        </w:tabs>
        <w:autoSpaceDE w:val="0"/>
        <w:autoSpaceDN w:val="0"/>
        <w:adjustRightInd w:val="0"/>
        <w:snapToGrid w:val="0"/>
        <w:spacing w:line="360" w:lineRule="auto"/>
        <w:ind w:right="-7" w:firstLine="843" w:firstLineChars="4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全通道录音 </w:t>
      </w:r>
      <w:r>
        <w:rPr>
          <w:rFonts w:hint="eastAsia" w:cs="MingLiU" w:asciiTheme="minorEastAsia" w:hAnsiTheme="minorEastAsia" w:eastAsiaTheme="minorEastAsia"/>
          <w:kern w:val="0"/>
          <w:szCs w:val="21"/>
        </w:rPr>
        <w:t>系统内调度与分机之间、任何分机与分机之间通话都可录音。</w:t>
      </w:r>
    </w:p>
    <w:p>
      <w:pPr>
        <w:tabs>
          <w:tab w:val="left" w:pos="285"/>
        </w:tabs>
        <w:autoSpaceDE w:val="0"/>
        <w:autoSpaceDN w:val="0"/>
        <w:adjustRightInd w:val="0"/>
        <w:snapToGrid w:val="0"/>
        <w:spacing w:line="360" w:lineRule="auto"/>
        <w:ind w:right="-7" w:firstLine="843" w:firstLineChars="4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紧呼强插功能</w:t>
      </w:r>
      <w:r>
        <w:rPr>
          <w:rFonts w:hint="eastAsia" w:cs="MingLiU" w:asciiTheme="minorEastAsia" w:hAnsiTheme="minorEastAsia" w:eastAsiaTheme="minorEastAsia"/>
          <w:kern w:val="0"/>
          <w:szCs w:val="21"/>
        </w:rPr>
        <w:t xml:space="preserve">  当用户有紧急情况发起紧急呼叫时，可以强插调度总机与调度总机进行通话（不管总机是否空闲）</w:t>
      </w:r>
    </w:p>
    <w:p>
      <w:pPr>
        <w:tabs>
          <w:tab w:val="left" w:pos="285"/>
        </w:tabs>
        <w:autoSpaceDE w:val="0"/>
        <w:autoSpaceDN w:val="0"/>
        <w:adjustRightInd w:val="0"/>
        <w:snapToGrid w:val="0"/>
        <w:spacing w:line="360" w:lineRule="auto"/>
        <w:ind w:right="-214" w:firstLine="843" w:firstLineChars="4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缩位拨号（呼出替换）</w:t>
      </w:r>
      <w:r>
        <w:rPr>
          <w:rFonts w:hint="eastAsia" w:cs="MingLiU" w:asciiTheme="minorEastAsia" w:hAnsiTheme="minorEastAsia" w:eastAsiaTheme="minorEastAsia"/>
          <w:kern w:val="0"/>
          <w:szCs w:val="21"/>
        </w:rPr>
        <w:t>使用</w:t>
      </w:r>
      <w:r>
        <w:rPr>
          <w:rFonts w:hint="eastAsia" w:cs="MingLiU" w:asciiTheme="minorEastAsia" w:hAnsiTheme="minorEastAsia" w:eastAsiaTheme="minorEastAsia"/>
          <w:spacing w:val="-1"/>
          <w:kern w:val="0"/>
          <w:szCs w:val="21"/>
        </w:rPr>
        <w:t>缩</w:t>
      </w:r>
      <w:r>
        <w:rPr>
          <w:rFonts w:hint="eastAsia" w:cs="MingLiU" w:asciiTheme="minorEastAsia" w:hAnsiTheme="minorEastAsia" w:eastAsiaTheme="minorEastAsia"/>
          <w:kern w:val="0"/>
          <w:szCs w:val="21"/>
        </w:rPr>
        <w:t>位拨号可减少用户拨叫多位号码的负担，节省拨号时间，便于记忆，使用方便。</w:t>
      </w:r>
    </w:p>
    <w:p>
      <w:pPr>
        <w:autoSpaceDE w:val="0"/>
        <w:autoSpaceDN w:val="0"/>
        <w:adjustRightInd w:val="0"/>
        <w:snapToGrid w:val="0"/>
        <w:spacing w:line="360" w:lineRule="auto"/>
        <w:ind w:right="-117" w:firstLine="843" w:firstLineChars="4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呼入替换 </w:t>
      </w:r>
      <w:r>
        <w:rPr>
          <w:rFonts w:hint="eastAsia" w:cs="MingLiU" w:asciiTheme="minorEastAsia" w:hAnsiTheme="minorEastAsia" w:eastAsiaTheme="minorEastAsia"/>
          <w:kern w:val="0"/>
          <w:szCs w:val="21"/>
        </w:rPr>
        <w:t>实现将外线拨入的被叫号码替换成调度机分机号码</w:t>
      </w:r>
      <w:r>
        <w:rPr>
          <w:rFonts w:hint="eastAsia" w:cs="MingLiU" w:asciiTheme="minorEastAsia" w:hAnsiTheme="minorEastAsia" w:eastAsiaTheme="minorEastAsia"/>
          <w:spacing w:val="-94"/>
          <w:kern w:val="0"/>
          <w:szCs w:val="21"/>
        </w:rPr>
        <w:t>，</w:t>
      </w:r>
      <w:r>
        <w:rPr>
          <w:rFonts w:hint="eastAsia" w:cs="MingLiU" w:asciiTheme="minorEastAsia" w:hAnsiTheme="minorEastAsia" w:eastAsiaTheme="minorEastAsia"/>
          <w:kern w:val="0"/>
          <w:szCs w:val="21"/>
        </w:rPr>
        <w:t>该功能可完善地解决多运营商多号段接入的问题。</w:t>
      </w:r>
    </w:p>
    <w:p>
      <w:pPr>
        <w:tabs>
          <w:tab w:val="left" w:pos="540"/>
        </w:tabs>
        <w:autoSpaceDE w:val="0"/>
        <w:autoSpaceDN w:val="0"/>
        <w:adjustRightInd w:val="0"/>
        <w:snapToGrid w:val="0"/>
        <w:spacing w:line="360" w:lineRule="auto"/>
        <w:ind w:left="330" w:right="-11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加发功能</w:t>
      </w:r>
      <w:r>
        <w:rPr>
          <w:rFonts w:hint="eastAsia" w:cs="MingLiU" w:asciiTheme="minorEastAsia" w:hAnsiTheme="minorEastAsia" w:eastAsiaTheme="minorEastAsia"/>
          <w:spacing w:val="-1"/>
          <w:kern w:val="0"/>
          <w:szCs w:val="21"/>
        </w:rPr>
        <w:t>调</w:t>
      </w:r>
      <w:r>
        <w:rPr>
          <w:rFonts w:hint="eastAsia" w:cs="MingLiU" w:asciiTheme="minorEastAsia" w:hAnsiTheme="minorEastAsia" w:eastAsiaTheme="minorEastAsia"/>
          <w:kern w:val="0"/>
          <w:szCs w:val="21"/>
        </w:rPr>
        <w:t>度机不仅可以实现中继出局加发功能</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而且也须实现汇接加发功能</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加发字头号长可长达</w:t>
      </w:r>
      <w:r>
        <w:rPr>
          <w:rFonts w:cs="MingLiU" w:asciiTheme="minorEastAsia" w:hAnsiTheme="minorEastAsia" w:eastAsiaTheme="minorEastAsia"/>
          <w:kern w:val="0"/>
          <w:szCs w:val="21"/>
        </w:rPr>
        <w:t>16</w:t>
      </w:r>
      <w:r>
        <w:rPr>
          <w:rFonts w:hint="eastAsia" w:cs="MingLiU" w:asciiTheme="minorEastAsia" w:hAnsiTheme="minorEastAsia" w:eastAsiaTheme="minorEastAsia"/>
          <w:kern w:val="0"/>
          <w:szCs w:val="21"/>
        </w:rPr>
        <w:t>位。</w:t>
      </w:r>
    </w:p>
    <w:p>
      <w:pPr>
        <w:tabs>
          <w:tab w:val="left" w:pos="142"/>
        </w:tabs>
        <w:autoSpaceDE w:val="0"/>
        <w:autoSpaceDN w:val="0"/>
        <w:adjustRightInd w:val="0"/>
        <w:snapToGrid w:val="0"/>
        <w:spacing w:line="360" w:lineRule="auto"/>
        <w:ind w:left="284" w:right="4"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呼入号码选择</w:t>
      </w:r>
      <w:r>
        <w:rPr>
          <w:rFonts w:hint="eastAsia" w:cs="MingLiU" w:asciiTheme="minorEastAsia" w:hAnsiTheme="minorEastAsia" w:eastAsiaTheme="minorEastAsia"/>
          <w:kern w:val="0"/>
          <w:szCs w:val="21"/>
        </w:rPr>
        <w:t xml:space="preserve"> 每门</w:t>
      </w:r>
      <w:r>
        <w:rPr>
          <w:rFonts w:hint="eastAsia" w:cs="MingLiU" w:asciiTheme="minorEastAsia" w:hAnsiTheme="minorEastAsia" w:eastAsiaTheme="minorEastAsia"/>
          <w:spacing w:val="-1"/>
          <w:kern w:val="0"/>
          <w:szCs w:val="21"/>
        </w:rPr>
        <w:t>分</w:t>
      </w:r>
      <w:r>
        <w:rPr>
          <w:rFonts w:hint="eastAsia" w:cs="MingLiU" w:asciiTheme="minorEastAsia" w:hAnsiTheme="minorEastAsia" w:eastAsiaTheme="minorEastAsia"/>
          <w:kern w:val="0"/>
          <w:szCs w:val="21"/>
        </w:rPr>
        <w:t>机可同时拥有两个分机号码，此时从不同数字中继方向呼入可选择不同号码。</w:t>
      </w:r>
    </w:p>
    <w:p>
      <w:pPr>
        <w:tabs>
          <w:tab w:val="left" w:pos="540"/>
        </w:tabs>
        <w:autoSpaceDE w:val="0"/>
        <w:autoSpaceDN w:val="0"/>
        <w:adjustRightInd w:val="0"/>
        <w:snapToGrid w:val="0"/>
        <w:spacing w:line="360" w:lineRule="auto"/>
        <w:ind w:left="120" w:leftChars="57" w:right="-20"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中继群呼功能</w:t>
      </w:r>
      <w:r>
        <w:rPr>
          <w:rFonts w:hint="eastAsia" w:cs="MingLiU" w:asciiTheme="minorEastAsia" w:hAnsiTheme="minorEastAsia" w:eastAsiaTheme="minorEastAsia"/>
          <w:kern w:val="0"/>
          <w:szCs w:val="21"/>
        </w:rPr>
        <w:t xml:space="preserve"> 将某中继设成群呼功能后</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再设置</w:t>
      </w:r>
      <w:r>
        <w:rPr>
          <w:rFonts w:cs="MingLiU" w:asciiTheme="minorEastAsia" w:hAnsiTheme="minorEastAsia" w:eastAsiaTheme="minorEastAsia"/>
          <w:kern w:val="0"/>
          <w:szCs w:val="21"/>
        </w:rPr>
        <w:t>1-5</w:t>
      </w:r>
      <w:r>
        <w:rPr>
          <w:rFonts w:hint="eastAsia" w:cs="MingLiU" w:asciiTheme="minorEastAsia" w:hAnsiTheme="minorEastAsia" w:eastAsiaTheme="minorEastAsia"/>
          <w:kern w:val="0"/>
          <w:szCs w:val="21"/>
        </w:rPr>
        <w:t>部的群</w:t>
      </w:r>
      <w:r>
        <w:rPr>
          <w:rFonts w:hint="eastAsia" w:cs="MingLiU" w:asciiTheme="minorEastAsia" w:hAnsiTheme="minorEastAsia" w:eastAsiaTheme="minorEastAsia"/>
          <w:spacing w:val="-1"/>
          <w:kern w:val="0"/>
          <w:szCs w:val="21"/>
        </w:rPr>
        <w:t>呼</w:t>
      </w:r>
      <w:r>
        <w:rPr>
          <w:rFonts w:hint="eastAsia" w:cs="MingLiU" w:asciiTheme="minorEastAsia" w:hAnsiTheme="minorEastAsia" w:eastAsiaTheme="minorEastAsia"/>
          <w:kern w:val="0"/>
          <w:szCs w:val="21"/>
        </w:rPr>
        <w:t>分机</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此时当外线呼叫该中继时</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群呼分机会一起循环振铃。</w:t>
      </w:r>
    </w:p>
    <w:p>
      <w:pPr>
        <w:tabs>
          <w:tab w:val="left" w:pos="540"/>
        </w:tabs>
        <w:autoSpaceDE w:val="0"/>
        <w:autoSpaceDN w:val="0"/>
        <w:adjustRightInd w:val="0"/>
        <w:snapToGrid w:val="0"/>
        <w:spacing w:line="360" w:lineRule="auto"/>
        <w:ind w:left="120" w:leftChars="57" w:right="-20"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发码方式选择</w:t>
      </w:r>
      <w:r>
        <w:rPr>
          <w:rFonts w:hint="eastAsia" w:cs="MingLiU" w:asciiTheme="minorEastAsia" w:hAnsiTheme="minorEastAsia" w:eastAsiaTheme="minorEastAsia"/>
          <w:kern w:val="0"/>
          <w:szCs w:val="21"/>
        </w:rPr>
        <w:t xml:space="preserve">  数字程控用户调度机应提供两种发码方式</w:t>
      </w:r>
      <w:r>
        <w:rPr>
          <w:rFonts w:hint="eastAsia" w:cs="MingLiU" w:asciiTheme="minorEastAsia" w:hAnsiTheme="minorEastAsia" w:eastAsiaTheme="minorEastAsia"/>
          <w:spacing w:val="-20"/>
          <w:kern w:val="0"/>
          <w:szCs w:val="21"/>
        </w:rPr>
        <w:t>：</w:t>
      </w:r>
      <w:r>
        <w:rPr>
          <w:rFonts w:hint="eastAsia" w:cs="MingLiU" w:asciiTheme="minorEastAsia" w:hAnsiTheme="minorEastAsia" w:eastAsiaTheme="minorEastAsia"/>
          <w:kern w:val="0"/>
          <w:szCs w:val="21"/>
        </w:rPr>
        <w:t>音频</w:t>
      </w:r>
      <w:r>
        <w:rPr>
          <w:rFonts w:cs="MingLiU" w:asciiTheme="minorEastAsia" w:hAnsiTheme="minorEastAsia" w:eastAsiaTheme="minorEastAsia"/>
          <w:kern w:val="0"/>
          <w:szCs w:val="21"/>
        </w:rPr>
        <w:t>T</w:t>
      </w:r>
      <w:r>
        <w:rPr>
          <w:rFonts w:hint="eastAsia" w:cs="MingLiU" w:asciiTheme="minorEastAsia" w:hAnsiTheme="minorEastAsia" w:eastAsiaTheme="minorEastAsia"/>
          <w:spacing w:val="-1"/>
          <w:kern w:val="0"/>
          <w:szCs w:val="21"/>
        </w:rPr>
        <w:t>和</w:t>
      </w:r>
      <w:r>
        <w:rPr>
          <w:rFonts w:hint="eastAsia" w:cs="MingLiU" w:asciiTheme="minorEastAsia" w:hAnsiTheme="minorEastAsia" w:eastAsiaTheme="minorEastAsia"/>
          <w:kern w:val="0"/>
          <w:szCs w:val="21"/>
        </w:rPr>
        <w:t>脉冲</w:t>
      </w:r>
      <w:r>
        <w:rPr>
          <w:rFonts w:cs="MingLiU" w:asciiTheme="minorEastAsia" w:hAnsiTheme="minorEastAsia" w:eastAsiaTheme="minorEastAsia"/>
          <w:kern w:val="0"/>
          <w:szCs w:val="21"/>
        </w:rPr>
        <w:t>P</w:t>
      </w:r>
      <w:r>
        <w:rPr>
          <w:rFonts w:hint="eastAsia" w:cs="MingLiU" w:asciiTheme="minorEastAsia" w:hAnsiTheme="minorEastAsia" w:eastAsiaTheme="minorEastAsia"/>
          <w:spacing w:val="-20"/>
          <w:kern w:val="0"/>
          <w:szCs w:val="21"/>
        </w:rPr>
        <w:t>。</w:t>
      </w:r>
      <w:r>
        <w:rPr>
          <w:rFonts w:hint="eastAsia" w:cs="MingLiU" w:asciiTheme="minorEastAsia" w:hAnsiTheme="minorEastAsia" w:eastAsiaTheme="minorEastAsia"/>
          <w:kern w:val="0"/>
          <w:szCs w:val="21"/>
        </w:rPr>
        <w:t>用</w:t>
      </w:r>
      <w:r>
        <w:rPr>
          <w:rFonts w:hint="eastAsia" w:cs="MingLiU" w:asciiTheme="minorEastAsia" w:hAnsiTheme="minorEastAsia" w:eastAsiaTheme="minorEastAsia"/>
          <w:spacing w:val="-1"/>
          <w:kern w:val="0"/>
          <w:szCs w:val="21"/>
        </w:rPr>
        <w:t>户</w:t>
      </w:r>
      <w:r>
        <w:rPr>
          <w:rFonts w:hint="eastAsia" w:cs="MingLiU" w:asciiTheme="minorEastAsia" w:hAnsiTheme="minorEastAsia" w:eastAsiaTheme="minorEastAsia"/>
          <w:kern w:val="0"/>
          <w:szCs w:val="21"/>
        </w:rPr>
        <w:t>选音频拨号或脉冲拨号要根据本地调度机来选择。</w:t>
      </w:r>
    </w:p>
    <w:p>
      <w:pPr>
        <w:tabs>
          <w:tab w:val="left" w:pos="540"/>
        </w:tabs>
        <w:autoSpaceDE w:val="0"/>
        <w:autoSpaceDN w:val="0"/>
        <w:adjustRightInd w:val="0"/>
        <w:snapToGrid w:val="0"/>
        <w:spacing w:line="360" w:lineRule="auto"/>
        <w:ind w:left="120" w:leftChars="57" w:right="-20"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等位拨号</w:t>
      </w:r>
      <w:r>
        <w:rPr>
          <w:rFonts w:hint="eastAsia" w:cs="MingLiU" w:asciiTheme="minorEastAsia" w:hAnsiTheme="minorEastAsia" w:eastAsiaTheme="minorEastAsia"/>
          <w:kern w:val="0"/>
          <w:szCs w:val="21"/>
        </w:rPr>
        <w:t xml:space="preserve">  分机免拨局向号或免听二次拨号音打外线号码</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用户可使用分</w:t>
      </w:r>
      <w:r>
        <w:rPr>
          <w:rFonts w:hint="eastAsia" w:cs="MingLiU" w:asciiTheme="minorEastAsia" w:hAnsiTheme="minorEastAsia" w:eastAsiaTheme="minorEastAsia"/>
          <w:spacing w:val="-31"/>
          <w:kern w:val="0"/>
          <w:szCs w:val="21"/>
        </w:rPr>
        <w:t>机</w:t>
      </w:r>
      <w:r>
        <w:rPr>
          <w:rFonts w:hint="eastAsia" w:cs="MingLiU" w:asciiTheme="minorEastAsia" w:hAnsiTheme="minorEastAsia" w:eastAsiaTheme="minorEastAsia"/>
          <w:kern w:val="0"/>
          <w:szCs w:val="21"/>
        </w:rPr>
        <w:t>（话机上重拨功能</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直接拨打外线。</w:t>
      </w:r>
    </w:p>
    <w:p>
      <w:pPr>
        <w:autoSpaceDE w:val="0"/>
        <w:autoSpaceDN w:val="0"/>
        <w:adjustRightInd w:val="0"/>
        <w:snapToGrid w:val="0"/>
        <w:spacing w:line="360" w:lineRule="auto"/>
        <w:ind w:left="143" w:leftChars="68" w:right="-214"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中继专用功能</w:t>
      </w:r>
      <w:r>
        <w:rPr>
          <w:rFonts w:hint="eastAsia" w:cs="MingLiU" w:asciiTheme="minorEastAsia" w:hAnsiTheme="minorEastAsia" w:eastAsiaTheme="minorEastAsia"/>
          <w:kern w:val="0"/>
          <w:szCs w:val="21"/>
        </w:rPr>
        <w:t xml:space="preserve"> 为保证重要部门话务畅通，可将某中继设为专用，该部分机呼入、呼出都独占该中继。</w:t>
      </w:r>
    </w:p>
    <w:p>
      <w:pPr>
        <w:autoSpaceDE w:val="0"/>
        <w:autoSpaceDN w:val="0"/>
        <w:adjustRightInd w:val="0"/>
        <w:snapToGrid w:val="0"/>
        <w:spacing w:line="360" w:lineRule="auto"/>
        <w:ind w:left="142" w:right="-117"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虚拟总机</w:t>
      </w:r>
      <w:r>
        <w:rPr>
          <w:rFonts w:hint="eastAsia" w:cs="MingLiU" w:asciiTheme="minorEastAsia" w:hAnsiTheme="minorEastAsia" w:eastAsiaTheme="minorEastAsia"/>
          <w:kern w:val="0"/>
          <w:szCs w:val="21"/>
        </w:rPr>
        <w:t>此设置可减轻总机转接话务的工作量</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当外线呼叫设有虚拟总机功能的中继时</w:t>
      </w:r>
      <w:r>
        <w:rPr>
          <w:rFonts w:hint="eastAsia" w:cs="MingLiU" w:asciiTheme="minorEastAsia" w:hAnsiTheme="minorEastAsia" w:eastAsiaTheme="minorEastAsia"/>
          <w:spacing w:val="-47"/>
          <w:kern w:val="0"/>
          <w:szCs w:val="21"/>
        </w:rPr>
        <w:t>，</w:t>
      </w:r>
      <w:r>
        <w:rPr>
          <w:rFonts w:hint="eastAsia" w:cs="MingLiU" w:asciiTheme="minorEastAsia" w:hAnsiTheme="minorEastAsia" w:eastAsiaTheme="minorEastAsia"/>
          <w:kern w:val="0"/>
          <w:szCs w:val="21"/>
        </w:rPr>
        <w:t>直接到虚拟总机振铃由其进行转接；若虚拟总机忙时，将循环呼叫物理总机。</w:t>
      </w:r>
    </w:p>
    <w:p>
      <w:pPr>
        <w:tabs>
          <w:tab w:val="left" w:pos="540"/>
        </w:tabs>
        <w:autoSpaceDE w:val="0"/>
        <w:autoSpaceDN w:val="0"/>
        <w:adjustRightInd w:val="0"/>
        <w:snapToGrid w:val="0"/>
        <w:spacing w:line="360" w:lineRule="auto"/>
        <w:ind w:left="120" w:leftChars="57" w:right="-20"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全弹性编码</w:t>
      </w:r>
      <w:r>
        <w:rPr>
          <w:rFonts w:hint="eastAsia" w:cs="MingLiU" w:asciiTheme="minorEastAsia" w:hAnsiTheme="minorEastAsia" w:eastAsiaTheme="minorEastAsia"/>
          <w:kern w:val="0"/>
          <w:szCs w:val="21"/>
        </w:rPr>
        <w:t xml:space="preserve">  调度机应实现分机弹编号长</w:t>
      </w:r>
      <w:r>
        <w:rPr>
          <w:rFonts w:asciiTheme="minorEastAsia" w:hAnsiTheme="minorEastAsia" w:eastAsiaTheme="minorEastAsia"/>
          <w:spacing w:val="1"/>
          <w:kern w:val="0"/>
          <w:szCs w:val="21"/>
        </w:rPr>
        <w:t>1</w:t>
      </w:r>
      <w:r>
        <w:rPr>
          <w:rFonts w:hint="eastAsia" w:cs="MingLiU" w:asciiTheme="minorEastAsia" w:hAnsiTheme="minorEastAsia" w:eastAsiaTheme="minorEastAsia"/>
          <w:kern w:val="0"/>
          <w:szCs w:val="21"/>
        </w:rPr>
        <w:t>－</w:t>
      </w:r>
      <w:r>
        <w:rPr>
          <w:rFonts w:asciiTheme="minorEastAsia" w:hAnsiTheme="minorEastAsia" w:eastAsiaTheme="minorEastAsia"/>
          <w:kern w:val="0"/>
          <w:szCs w:val="21"/>
        </w:rPr>
        <w:t>12</w:t>
      </w:r>
      <w:r>
        <w:rPr>
          <w:rFonts w:hint="eastAsia" w:cs="MingLiU" w:asciiTheme="minorEastAsia" w:hAnsiTheme="minorEastAsia" w:eastAsiaTheme="minorEastAsia"/>
          <w:kern w:val="0"/>
          <w:szCs w:val="21"/>
        </w:rPr>
        <w:t>位任意编号，不等长、不同字头的分机弹性号码可同时存在。</w:t>
      </w:r>
    </w:p>
    <w:p>
      <w:pPr>
        <w:tabs>
          <w:tab w:val="left" w:pos="540"/>
        </w:tabs>
        <w:autoSpaceDE w:val="0"/>
        <w:autoSpaceDN w:val="0"/>
        <w:adjustRightInd w:val="0"/>
        <w:snapToGrid w:val="0"/>
        <w:spacing w:line="360" w:lineRule="auto"/>
        <w:ind w:left="120" w:leftChars="57" w:right="-20"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一机两号功能  </w:t>
      </w:r>
      <w:r>
        <w:rPr>
          <w:rFonts w:hint="eastAsia" w:cs="MingLiU" w:asciiTheme="minorEastAsia" w:hAnsiTheme="minorEastAsia" w:eastAsiaTheme="minorEastAsia"/>
          <w:kern w:val="0"/>
          <w:szCs w:val="21"/>
        </w:rPr>
        <w:t>调</w:t>
      </w:r>
      <w:r>
        <w:rPr>
          <w:rFonts w:hint="eastAsia" w:cs="MingLiU" w:asciiTheme="minorEastAsia" w:hAnsiTheme="minorEastAsia" w:eastAsiaTheme="minorEastAsia"/>
          <w:spacing w:val="-1"/>
          <w:kern w:val="0"/>
          <w:szCs w:val="21"/>
        </w:rPr>
        <w:t>度</w:t>
      </w:r>
      <w:r>
        <w:rPr>
          <w:rFonts w:hint="eastAsia" w:cs="MingLiU" w:asciiTheme="minorEastAsia" w:hAnsiTheme="minorEastAsia" w:eastAsiaTheme="minorEastAsia"/>
          <w:kern w:val="0"/>
          <w:szCs w:val="21"/>
        </w:rPr>
        <w:t>机应实现每部分机可同时拥有</w:t>
      </w:r>
      <w:r>
        <w:rPr>
          <w:rFonts w:cs="MingLiU" w:asciiTheme="minorEastAsia" w:hAnsiTheme="minorEastAsia" w:eastAsiaTheme="minorEastAsia"/>
          <w:kern w:val="0"/>
          <w:szCs w:val="21"/>
        </w:rPr>
        <w:t>2</w:t>
      </w:r>
      <w:r>
        <w:rPr>
          <w:rFonts w:hint="eastAsia" w:cs="MingLiU" w:asciiTheme="minorEastAsia" w:hAnsiTheme="minorEastAsia" w:eastAsiaTheme="minorEastAsia"/>
          <w:kern w:val="0"/>
          <w:szCs w:val="21"/>
        </w:rPr>
        <w:t>个</w:t>
      </w:r>
      <w:r>
        <w:rPr>
          <w:rFonts w:hint="eastAsia" w:cs="MingLiU" w:asciiTheme="minorEastAsia" w:hAnsiTheme="minorEastAsia" w:eastAsiaTheme="minorEastAsia"/>
          <w:spacing w:val="-1"/>
          <w:kern w:val="0"/>
          <w:szCs w:val="21"/>
        </w:rPr>
        <w:t>电</w:t>
      </w:r>
      <w:r>
        <w:rPr>
          <w:rFonts w:hint="eastAsia" w:cs="MingLiU" w:asciiTheme="minorEastAsia" w:hAnsiTheme="minorEastAsia" w:eastAsiaTheme="minorEastAsia"/>
          <w:kern w:val="0"/>
          <w:szCs w:val="21"/>
        </w:rPr>
        <w:t>话号码，每个号码均能实现呼叫。</w:t>
      </w:r>
    </w:p>
    <w:p>
      <w:pPr>
        <w:tabs>
          <w:tab w:val="left" w:pos="540"/>
        </w:tabs>
        <w:autoSpaceDE w:val="0"/>
        <w:autoSpaceDN w:val="0"/>
        <w:adjustRightInd w:val="0"/>
        <w:snapToGrid w:val="0"/>
        <w:spacing w:line="360" w:lineRule="auto"/>
        <w:ind w:left="359" w:leftChars="171" w:right="135"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分机截铃</w:t>
      </w:r>
      <w:r>
        <w:rPr>
          <w:rFonts w:hint="eastAsia" w:cs="MingLiU" w:asciiTheme="minorEastAsia" w:hAnsiTheme="minorEastAsia" w:eastAsiaTheme="minorEastAsia"/>
          <w:kern w:val="0"/>
          <w:szCs w:val="21"/>
        </w:rPr>
        <w:t xml:space="preserve">  振铃分机提机即截铃，不会产生铃流馈耳现象。</w:t>
      </w:r>
    </w:p>
    <w:p>
      <w:pPr>
        <w:tabs>
          <w:tab w:val="left" w:pos="540"/>
        </w:tabs>
        <w:autoSpaceDE w:val="0"/>
        <w:autoSpaceDN w:val="0"/>
        <w:adjustRightInd w:val="0"/>
        <w:snapToGrid w:val="0"/>
        <w:spacing w:line="360" w:lineRule="auto"/>
        <w:ind w:left="296" w:leftChars="141" w:right="-11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内外线区分振铃</w:t>
      </w:r>
      <w:r>
        <w:rPr>
          <w:rFonts w:hint="eastAsia" w:cs="MingLiU" w:asciiTheme="minorEastAsia" w:hAnsiTheme="minorEastAsia" w:eastAsiaTheme="minorEastAsia"/>
          <w:kern w:val="0"/>
          <w:szCs w:val="21"/>
        </w:rPr>
        <w:t xml:space="preserve">  调度机可根据不同的来话属性</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使话机发出不同的振铃声</w:t>
      </w:r>
      <w:r>
        <w:rPr>
          <w:rFonts w:hint="eastAsia" w:cs="MingLiU" w:asciiTheme="minorEastAsia" w:hAnsiTheme="minorEastAsia" w:eastAsiaTheme="minorEastAsia"/>
          <w:spacing w:val="-31"/>
          <w:kern w:val="0"/>
          <w:szCs w:val="21"/>
        </w:rPr>
        <w:t>，</w:t>
      </w:r>
      <w:r>
        <w:rPr>
          <w:rFonts w:hint="eastAsia" w:cs="MingLiU" w:asciiTheme="minorEastAsia" w:hAnsiTheme="minorEastAsia" w:eastAsiaTheme="minorEastAsia"/>
          <w:kern w:val="0"/>
          <w:szCs w:val="21"/>
        </w:rPr>
        <w:t>使分机用户便于判断来电是内线还是外线。</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b/>
          <w:kern w:val="0"/>
          <w:szCs w:val="21"/>
        </w:rPr>
      </w:pPr>
      <w:r>
        <w:rPr>
          <w:rFonts w:hint="eastAsia" w:cs="MingLiU" w:asciiTheme="minorEastAsia" w:hAnsiTheme="minorEastAsia" w:eastAsiaTheme="minorEastAsia"/>
          <w:b/>
          <w:kern w:val="0"/>
          <w:szCs w:val="21"/>
        </w:rPr>
        <w:t>外部编码</w:t>
      </w:r>
    </w:p>
    <w:p>
      <w:pPr>
        <w:autoSpaceDE w:val="0"/>
        <w:autoSpaceDN w:val="0"/>
        <w:adjustRightInd w:val="0"/>
        <w:snapToGrid w:val="0"/>
        <w:spacing w:line="360" w:lineRule="auto"/>
        <w:ind w:left="540" w:right="-20"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每部分机通过数字中继呼出时，可选择对外送主叫号码为一个</w:t>
      </w:r>
      <w:r>
        <w:rPr>
          <w:rFonts w:cs="MingLiU" w:asciiTheme="minorEastAsia" w:hAnsiTheme="minorEastAsia" w:eastAsiaTheme="minorEastAsia"/>
          <w:kern w:val="0"/>
          <w:szCs w:val="21"/>
        </w:rPr>
        <w:t>1-14</w:t>
      </w:r>
      <w:r>
        <w:rPr>
          <w:rFonts w:hint="eastAsia" w:cs="MingLiU" w:asciiTheme="minorEastAsia" w:hAnsiTheme="minorEastAsia" w:eastAsiaTheme="minorEastAsia"/>
          <w:spacing w:val="-1"/>
          <w:kern w:val="0"/>
          <w:szCs w:val="21"/>
        </w:rPr>
        <w:t>位</w:t>
      </w:r>
      <w:r>
        <w:rPr>
          <w:rFonts w:hint="eastAsia" w:cs="MingLiU" w:asciiTheme="minorEastAsia" w:hAnsiTheme="minorEastAsia" w:eastAsiaTheme="minorEastAsia"/>
          <w:kern w:val="0"/>
          <w:szCs w:val="21"/>
        </w:rPr>
        <w:t>外部编码。</w:t>
      </w:r>
    </w:p>
    <w:p>
      <w:pPr>
        <w:tabs>
          <w:tab w:val="left" w:pos="540"/>
        </w:tabs>
        <w:autoSpaceDE w:val="0"/>
        <w:autoSpaceDN w:val="0"/>
        <w:adjustRightInd w:val="0"/>
        <w:snapToGrid w:val="0"/>
        <w:spacing w:line="360" w:lineRule="auto"/>
        <w:ind w:left="361" w:leftChars="172" w:right="-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内线分组</w:t>
      </w:r>
      <w:r>
        <w:rPr>
          <w:rFonts w:hint="eastAsia" w:cs="MingLiU" w:asciiTheme="minorEastAsia" w:hAnsiTheme="minorEastAsia" w:eastAsiaTheme="minorEastAsia"/>
          <w:kern w:val="0"/>
          <w:szCs w:val="21"/>
        </w:rPr>
        <w:t>对系统内分机进行分组管理，实现组内代接、跨组禁止、本组禁止等功能。</w:t>
      </w:r>
    </w:p>
    <w:p>
      <w:pPr>
        <w:tabs>
          <w:tab w:val="left" w:pos="540"/>
        </w:tabs>
        <w:autoSpaceDE w:val="0"/>
        <w:autoSpaceDN w:val="0"/>
        <w:adjustRightInd w:val="0"/>
        <w:snapToGrid w:val="0"/>
        <w:spacing w:line="360" w:lineRule="auto"/>
        <w:ind w:right="276"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恶意电话查询</w:t>
      </w:r>
      <w:r>
        <w:rPr>
          <w:rFonts w:hint="eastAsia" w:cs="MingLiU" w:asciiTheme="minorEastAsia" w:hAnsiTheme="minorEastAsia" w:eastAsiaTheme="minorEastAsia"/>
          <w:kern w:val="0"/>
          <w:szCs w:val="21"/>
        </w:rPr>
        <w:t xml:space="preserve">  分机可查询最近一次内线呼叫本机的主叫号码。</w:t>
      </w:r>
    </w:p>
    <w:p>
      <w:pPr>
        <w:autoSpaceDE w:val="0"/>
        <w:autoSpaceDN w:val="0"/>
        <w:adjustRightInd w:val="0"/>
        <w:snapToGrid w:val="0"/>
        <w:spacing w:line="360" w:lineRule="auto"/>
        <w:ind w:left="143" w:leftChars="68" w:right="-113"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多等级限制</w:t>
      </w:r>
      <w:r>
        <w:rPr>
          <w:rFonts w:hint="eastAsia" w:cs="MingLiU" w:asciiTheme="minorEastAsia" w:hAnsiTheme="minorEastAsia" w:eastAsiaTheme="minorEastAsia"/>
          <w:kern w:val="0"/>
          <w:szCs w:val="21"/>
        </w:rPr>
        <w:t xml:space="preserve">  调度机应为用户提供了全新的等级定义</w:t>
      </w:r>
      <w:r>
        <w:rPr>
          <w:rFonts w:hint="eastAsia" w:cs="MingLiU" w:asciiTheme="minorEastAsia" w:hAnsiTheme="minorEastAsia" w:eastAsiaTheme="minorEastAsia"/>
          <w:spacing w:val="-4"/>
          <w:kern w:val="0"/>
          <w:szCs w:val="21"/>
        </w:rPr>
        <w:t>，</w:t>
      </w:r>
      <w:r>
        <w:rPr>
          <w:rFonts w:hint="eastAsia" w:cs="MingLiU" w:asciiTheme="minorEastAsia" w:hAnsiTheme="minorEastAsia" w:eastAsiaTheme="minorEastAsia"/>
          <w:kern w:val="0"/>
          <w:szCs w:val="21"/>
        </w:rPr>
        <w:t>实现等级权限由分机用户自己任意灵活定义，共有</w:t>
      </w:r>
      <w:r>
        <w:rPr>
          <w:rFonts w:cs="MingLiU" w:asciiTheme="minorEastAsia" w:hAnsiTheme="minorEastAsia" w:eastAsiaTheme="minorEastAsia"/>
          <w:kern w:val="0"/>
          <w:szCs w:val="21"/>
        </w:rPr>
        <w:t>32</w:t>
      </w:r>
      <w:r>
        <w:rPr>
          <w:rFonts w:hint="eastAsia" w:cs="MingLiU" w:asciiTheme="minorEastAsia" w:hAnsiTheme="minorEastAsia" w:eastAsiaTheme="minorEastAsia"/>
          <w:kern w:val="0"/>
          <w:szCs w:val="21"/>
        </w:rPr>
        <w:t>个级别。</w:t>
      </w:r>
    </w:p>
    <w:p>
      <w:pPr>
        <w:tabs>
          <w:tab w:val="left" w:pos="420"/>
        </w:tabs>
        <w:autoSpaceDE w:val="0"/>
        <w:autoSpaceDN w:val="0"/>
        <w:adjustRightInd w:val="0"/>
        <w:snapToGrid w:val="0"/>
        <w:spacing w:line="360" w:lineRule="auto"/>
        <w:ind w:left="142" w:right="-122"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出局代挂</w:t>
      </w:r>
      <w:r>
        <w:rPr>
          <w:rFonts w:hint="eastAsia" w:cs="MingLiU" w:asciiTheme="minorEastAsia" w:hAnsiTheme="minorEastAsia" w:eastAsiaTheme="minorEastAsia"/>
          <w:spacing w:val="4"/>
          <w:kern w:val="0"/>
          <w:szCs w:val="21"/>
        </w:rPr>
        <w:t>低等</w:t>
      </w:r>
      <w:r>
        <w:rPr>
          <w:rFonts w:hint="eastAsia" w:cs="MingLiU" w:asciiTheme="minorEastAsia" w:hAnsiTheme="minorEastAsia" w:eastAsiaTheme="minorEastAsia"/>
          <w:spacing w:val="5"/>
          <w:kern w:val="0"/>
          <w:szCs w:val="21"/>
        </w:rPr>
        <w:t>级</w:t>
      </w:r>
      <w:r>
        <w:rPr>
          <w:rFonts w:hint="eastAsia" w:cs="MingLiU" w:asciiTheme="minorEastAsia" w:hAnsiTheme="minorEastAsia" w:eastAsiaTheme="minorEastAsia"/>
          <w:spacing w:val="4"/>
          <w:kern w:val="0"/>
          <w:szCs w:val="21"/>
        </w:rPr>
        <w:t>分</w:t>
      </w:r>
      <w:r>
        <w:rPr>
          <w:rFonts w:hint="eastAsia" w:cs="MingLiU" w:asciiTheme="minorEastAsia" w:hAnsiTheme="minorEastAsia" w:eastAsiaTheme="minorEastAsia"/>
          <w:spacing w:val="5"/>
          <w:kern w:val="0"/>
          <w:szCs w:val="21"/>
        </w:rPr>
        <w:t>机</w:t>
      </w:r>
      <w:r>
        <w:rPr>
          <w:rFonts w:hint="eastAsia" w:cs="MingLiU" w:asciiTheme="minorEastAsia" w:hAnsiTheme="minorEastAsia" w:eastAsiaTheme="minorEastAsia"/>
          <w:spacing w:val="4"/>
          <w:kern w:val="0"/>
          <w:szCs w:val="21"/>
        </w:rPr>
        <w:t>用户</w:t>
      </w:r>
      <w:r>
        <w:rPr>
          <w:rFonts w:hint="eastAsia" w:cs="MingLiU" w:asciiTheme="minorEastAsia" w:hAnsiTheme="minorEastAsia" w:eastAsiaTheme="minorEastAsia"/>
          <w:spacing w:val="5"/>
          <w:kern w:val="0"/>
          <w:szCs w:val="21"/>
        </w:rPr>
        <w:t>若</w:t>
      </w:r>
      <w:r>
        <w:rPr>
          <w:rFonts w:hint="eastAsia" w:cs="MingLiU" w:asciiTheme="minorEastAsia" w:hAnsiTheme="minorEastAsia" w:eastAsiaTheme="minorEastAsia"/>
          <w:spacing w:val="4"/>
          <w:kern w:val="0"/>
          <w:szCs w:val="21"/>
        </w:rPr>
        <w:t>不</w:t>
      </w:r>
      <w:r>
        <w:rPr>
          <w:rFonts w:hint="eastAsia" w:cs="MingLiU" w:asciiTheme="minorEastAsia" w:hAnsiTheme="minorEastAsia" w:eastAsiaTheme="minorEastAsia"/>
          <w:spacing w:val="5"/>
          <w:kern w:val="0"/>
          <w:szCs w:val="21"/>
        </w:rPr>
        <w:t>能</w:t>
      </w:r>
      <w:r>
        <w:rPr>
          <w:rFonts w:hint="eastAsia" w:cs="MingLiU" w:asciiTheme="minorEastAsia" w:hAnsiTheme="minorEastAsia" w:eastAsiaTheme="minorEastAsia"/>
          <w:spacing w:val="4"/>
          <w:kern w:val="0"/>
          <w:szCs w:val="21"/>
        </w:rPr>
        <w:t>出局</w:t>
      </w:r>
      <w:r>
        <w:rPr>
          <w:rFonts w:hint="eastAsia" w:cs="MingLiU" w:asciiTheme="minorEastAsia" w:hAnsiTheme="minorEastAsia" w:eastAsiaTheme="minorEastAsia"/>
          <w:spacing w:val="5"/>
          <w:kern w:val="0"/>
          <w:szCs w:val="21"/>
        </w:rPr>
        <w:t>或</w:t>
      </w:r>
      <w:r>
        <w:rPr>
          <w:rFonts w:hint="eastAsia" w:cs="MingLiU" w:asciiTheme="minorEastAsia" w:hAnsiTheme="minorEastAsia" w:eastAsiaTheme="minorEastAsia"/>
          <w:spacing w:val="4"/>
          <w:kern w:val="0"/>
          <w:szCs w:val="21"/>
        </w:rPr>
        <w:t>拨</w:t>
      </w:r>
      <w:r>
        <w:rPr>
          <w:rFonts w:hint="eastAsia" w:cs="MingLiU" w:asciiTheme="minorEastAsia" w:hAnsiTheme="minorEastAsia" w:eastAsiaTheme="minorEastAsia"/>
          <w:spacing w:val="5"/>
          <w:kern w:val="0"/>
          <w:szCs w:val="21"/>
        </w:rPr>
        <w:t>打</w:t>
      </w:r>
      <w:r>
        <w:rPr>
          <w:rFonts w:hint="eastAsia" w:cs="MingLiU" w:asciiTheme="minorEastAsia" w:hAnsiTheme="minorEastAsia" w:eastAsiaTheme="minorEastAsia"/>
          <w:spacing w:val="4"/>
          <w:kern w:val="0"/>
          <w:szCs w:val="21"/>
        </w:rPr>
        <w:t>长途</w:t>
      </w:r>
      <w:r>
        <w:rPr>
          <w:rFonts w:hint="eastAsia" w:cs="MingLiU" w:asciiTheme="minorEastAsia" w:hAnsiTheme="minorEastAsia" w:eastAsiaTheme="minorEastAsia"/>
          <w:spacing w:val="5"/>
          <w:kern w:val="0"/>
          <w:szCs w:val="21"/>
        </w:rPr>
        <w:t>时</w:t>
      </w:r>
      <w:r>
        <w:rPr>
          <w:rFonts w:hint="eastAsia" w:cs="MingLiU" w:asciiTheme="minorEastAsia" w:hAnsiTheme="minorEastAsia" w:eastAsiaTheme="minorEastAsia"/>
          <w:spacing w:val="4"/>
          <w:kern w:val="0"/>
          <w:szCs w:val="21"/>
        </w:rPr>
        <w:t>，</w:t>
      </w:r>
      <w:r>
        <w:rPr>
          <w:rFonts w:hint="eastAsia" w:cs="MingLiU" w:asciiTheme="minorEastAsia" w:hAnsiTheme="minorEastAsia" w:eastAsiaTheme="minorEastAsia"/>
          <w:spacing w:val="5"/>
          <w:kern w:val="0"/>
          <w:szCs w:val="21"/>
        </w:rPr>
        <w:t>总</w:t>
      </w:r>
      <w:r>
        <w:rPr>
          <w:rFonts w:hint="eastAsia" w:cs="MingLiU" w:asciiTheme="minorEastAsia" w:hAnsiTheme="minorEastAsia" w:eastAsiaTheme="minorEastAsia"/>
          <w:spacing w:val="4"/>
          <w:kern w:val="0"/>
          <w:szCs w:val="21"/>
        </w:rPr>
        <w:t>机或</w:t>
      </w:r>
      <w:r>
        <w:rPr>
          <w:rFonts w:hint="eastAsia" w:cs="MingLiU" w:asciiTheme="minorEastAsia" w:hAnsiTheme="minorEastAsia" w:eastAsiaTheme="minorEastAsia"/>
          <w:spacing w:val="5"/>
          <w:kern w:val="0"/>
          <w:szCs w:val="21"/>
        </w:rPr>
        <w:t>有</w:t>
      </w:r>
      <w:r>
        <w:rPr>
          <w:rFonts w:hint="eastAsia" w:cs="MingLiU" w:asciiTheme="minorEastAsia" w:hAnsiTheme="minorEastAsia" w:eastAsiaTheme="minorEastAsia"/>
          <w:spacing w:val="4"/>
          <w:kern w:val="0"/>
          <w:szCs w:val="21"/>
        </w:rPr>
        <w:t>出</w:t>
      </w:r>
      <w:r>
        <w:rPr>
          <w:rFonts w:hint="eastAsia" w:cs="MingLiU" w:asciiTheme="minorEastAsia" w:hAnsiTheme="minorEastAsia" w:eastAsiaTheme="minorEastAsia"/>
          <w:spacing w:val="5"/>
          <w:kern w:val="0"/>
          <w:szCs w:val="21"/>
        </w:rPr>
        <w:t>局</w:t>
      </w:r>
      <w:r>
        <w:rPr>
          <w:rFonts w:hint="eastAsia" w:cs="MingLiU" w:asciiTheme="minorEastAsia" w:hAnsiTheme="minorEastAsia" w:eastAsiaTheme="minorEastAsia"/>
          <w:spacing w:val="4"/>
          <w:kern w:val="0"/>
          <w:szCs w:val="21"/>
        </w:rPr>
        <w:t>代挂</w:t>
      </w:r>
      <w:r>
        <w:rPr>
          <w:rFonts w:hint="eastAsia" w:cs="MingLiU" w:asciiTheme="minorEastAsia" w:hAnsiTheme="minorEastAsia" w:eastAsiaTheme="minorEastAsia"/>
          <w:spacing w:val="5"/>
          <w:kern w:val="0"/>
          <w:szCs w:val="21"/>
        </w:rPr>
        <w:t>权</w:t>
      </w:r>
      <w:r>
        <w:rPr>
          <w:rFonts w:hint="eastAsia" w:cs="MingLiU" w:asciiTheme="minorEastAsia" w:hAnsiTheme="minorEastAsia" w:eastAsiaTheme="minorEastAsia"/>
          <w:spacing w:val="4"/>
          <w:kern w:val="0"/>
          <w:szCs w:val="21"/>
        </w:rPr>
        <w:t>的</w:t>
      </w:r>
      <w:r>
        <w:rPr>
          <w:rFonts w:hint="eastAsia" w:cs="MingLiU" w:asciiTheme="minorEastAsia" w:hAnsiTheme="minorEastAsia" w:eastAsiaTheme="minorEastAsia"/>
          <w:spacing w:val="5"/>
          <w:kern w:val="0"/>
          <w:szCs w:val="21"/>
        </w:rPr>
        <w:t>分</w:t>
      </w:r>
      <w:r>
        <w:rPr>
          <w:rFonts w:hint="eastAsia" w:cs="MingLiU" w:asciiTheme="minorEastAsia" w:hAnsiTheme="minorEastAsia" w:eastAsiaTheme="minorEastAsia"/>
          <w:spacing w:val="4"/>
          <w:kern w:val="0"/>
          <w:szCs w:val="21"/>
        </w:rPr>
        <w:t>机可</w:t>
      </w:r>
      <w:r>
        <w:rPr>
          <w:rFonts w:hint="eastAsia" w:cs="MingLiU" w:asciiTheme="minorEastAsia" w:hAnsiTheme="minorEastAsia" w:eastAsiaTheme="minorEastAsia"/>
          <w:spacing w:val="5"/>
          <w:kern w:val="0"/>
          <w:szCs w:val="21"/>
        </w:rPr>
        <w:t>为</w:t>
      </w:r>
      <w:r>
        <w:rPr>
          <w:rFonts w:hint="eastAsia" w:cs="MingLiU" w:asciiTheme="minorEastAsia" w:hAnsiTheme="minorEastAsia" w:eastAsiaTheme="minorEastAsia"/>
          <w:spacing w:val="4"/>
          <w:kern w:val="0"/>
          <w:szCs w:val="21"/>
        </w:rPr>
        <w:t>其</w:t>
      </w:r>
      <w:r>
        <w:rPr>
          <w:rFonts w:hint="eastAsia" w:cs="MingLiU" w:asciiTheme="minorEastAsia" w:hAnsiTheme="minorEastAsia" w:eastAsiaTheme="minorEastAsia"/>
          <w:spacing w:val="5"/>
          <w:kern w:val="0"/>
          <w:szCs w:val="21"/>
        </w:rPr>
        <w:t>拨号</w:t>
      </w:r>
      <w:r>
        <w:rPr>
          <w:rFonts w:hint="eastAsia" w:cs="MingLiU" w:asciiTheme="minorEastAsia" w:hAnsiTheme="minorEastAsia" w:eastAsiaTheme="minorEastAsia"/>
          <w:spacing w:val="4"/>
          <w:kern w:val="0"/>
          <w:szCs w:val="21"/>
        </w:rPr>
        <w:t>服</w:t>
      </w:r>
      <w:r>
        <w:rPr>
          <w:rFonts w:hint="eastAsia" w:cs="MingLiU" w:asciiTheme="minorEastAsia" w:hAnsiTheme="minorEastAsia" w:eastAsiaTheme="minorEastAsia"/>
          <w:kern w:val="0"/>
          <w:szCs w:val="21"/>
        </w:rPr>
        <w:t>务。</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指定中继出局   </w:t>
      </w:r>
      <w:r>
        <w:rPr>
          <w:rFonts w:hint="eastAsia" w:cs="MingLiU" w:asciiTheme="minorEastAsia" w:hAnsiTheme="minorEastAsia" w:eastAsiaTheme="minorEastAsia"/>
          <w:kern w:val="0"/>
          <w:szCs w:val="21"/>
        </w:rPr>
        <w:t>分机可拨指定的中继线出局。</w:t>
      </w:r>
    </w:p>
    <w:p>
      <w:pPr>
        <w:autoSpaceDE w:val="0"/>
        <w:autoSpaceDN w:val="0"/>
        <w:adjustRightInd w:val="0"/>
        <w:snapToGrid w:val="0"/>
        <w:spacing w:line="360" w:lineRule="auto"/>
        <w:ind w:left="142" w:right="-11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呼叫转移功能</w:t>
      </w:r>
      <w:r>
        <w:rPr>
          <w:rFonts w:hint="eastAsia" w:cs="MingLiU" w:asciiTheme="minorEastAsia" w:hAnsiTheme="minorEastAsia" w:eastAsiaTheme="minorEastAsia"/>
          <w:kern w:val="0"/>
          <w:szCs w:val="21"/>
        </w:rPr>
        <w:t xml:space="preserve">  数字程控用户调度机不仅可以将内线或外线来电呼叫转移到内线分机上</w:t>
      </w:r>
      <w:r>
        <w:rPr>
          <w:rFonts w:hint="eastAsia" w:cs="MingLiU" w:asciiTheme="minorEastAsia" w:hAnsiTheme="minorEastAsia" w:eastAsiaTheme="minorEastAsia"/>
          <w:spacing w:val="-94"/>
          <w:kern w:val="0"/>
          <w:szCs w:val="21"/>
        </w:rPr>
        <w:t>，</w:t>
      </w:r>
      <w:r>
        <w:rPr>
          <w:rFonts w:hint="eastAsia" w:cs="MingLiU" w:asciiTheme="minorEastAsia" w:hAnsiTheme="minorEastAsia" w:eastAsiaTheme="minorEastAsia"/>
          <w:kern w:val="0"/>
          <w:szCs w:val="21"/>
        </w:rPr>
        <w:t>而且也可以实现呼叫转移到外线（移动手机或固定电话），转移来电有四种状态：所有来电转移、遇忙转移、无应答转移、遇忙转移</w:t>
      </w:r>
      <w:r>
        <w:rPr>
          <w:rFonts w:cs="MingLiU" w:asciiTheme="minorEastAsia" w:hAnsiTheme="minorEastAsia" w:eastAsiaTheme="minorEastAsia"/>
          <w:kern w:val="0"/>
          <w:szCs w:val="21"/>
        </w:rPr>
        <w:t>+</w:t>
      </w:r>
      <w:r>
        <w:rPr>
          <w:rFonts w:hint="eastAsia" w:cs="MingLiU" w:asciiTheme="minorEastAsia" w:hAnsiTheme="minorEastAsia" w:eastAsiaTheme="minorEastAsia"/>
          <w:kern w:val="0"/>
          <w:szCs w:val="21"/>
        </w:rPr>
        <w:t>无应答转移。用户可在话机上使用功能代码随时设置和取消呼叫转移功能。</w:t>
      </w:r>
    </w:p>
    <w:p>
      <w:pPr>
        <w:autoSpaceDE w:val="0"/>
        <w:autoSpaceDN w:val="0"/>
        <w:adjustRightInd w:val="0"/>
        <w:snapToGrid w:val="0"/>
        <w:spacing w:line="360" w:lineRule="auto"/>
        <w:ind w:left="142" w:right="-112"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遇忙回叫</w:t>
      </w:r>
      <w:r>
        <w:rPr>
          <w:rFonts w:hint="eastAsia" w:cs="MingLiU" w:asciiTheme="minorEastAsia" w:hAnsiTheme="minorEastAsia" w:eastAsiaTheme="minorEastAsia"/>
          <w:kern w:val="0"/>
          <w:szCs w:val="21"/>
        </w:rPr>
        <w:t xml:space="preserve">  内线</w:t>
      </w:r>
      <w:r>
        <w:rPr>
          <w:rFonts w:hint="eastAsia" w:cs="MingLiU" w:asciiTheme="minorEastAsia" w:hAnsiTheme="minorEastAsia" w:eastAsiaTheme="minorEastAsia"/>
          <w:spacing w:val="-1"/>
          <w:kern w:val="0"/>
          <w:szCs w:val="21"/>
        </w:rPr>
        <w:t>之</w:t>
      </w:r>
      <w:r>
        <w:rPr>
          <w:rFonts w:hint="eastAsia" w:cs="MingLiU" w:asciiTheme="minorEastAsia" w:hAnsiTheme="minorEastAsia" w:eastAsiaTheme="minorEastAsia"/>
          <w:kern w:val="0"/>
          <w:szCs w:val="21"/>
        </w:rPr>
        <w:t>间呼叫时</w:t>
      </w:r>
      <w:r>
        <w:rPr>
          <w:rFonts w:hint="eastAsia" w:cs="MingLiU" w:asciiTheme="minorEastAsia" w:hAnsiTheme="minorEastAsia" w:eastAsiaTheme="minorEastAsia"/>
          <w:spacing w:val="-16"/>
          <w:kern w:val="0"/>
          <w:szCs w:val="21"/>
        </w:rPr>
        <w:t>，</w:t>
      </w:r>
      <w:r>
        <w:rPr>
          <w:rFonts w:hint="eastAsia" w:cs="MingLiU" w:asciiTheme="minorEastAsia" w:hAnsiTheme="minorEastAsia" w:eastAsiaTheme="minorEastAsia"/>
          <w:kern w:val="0"/>
          <w:szCs w:val="21"/>
        </w:rPr>
        <w:t>若遇对方分机正忙时</w:t>
      </w:r>
      <w:r>
        <w:rPr>
          <w:rFonts w:hint="eastAsia" w:cs="MingLiU" w:asciiTheme="minorEastAsia" w:hAnsiTheme="minorEastAsia" w:eastAsiaTheme="minorEastAsia"/>
          <w:spacing w:val="-16"/>
          <w:kern w:val="0"/>
          <w:szCs w:val="21"/>
        </w:rPr>
        <w:t>，拨</w:t>
      </w:r>
      <w:r>
        <w:rPr>
          <w:rFonts w:hint="eastAsia" w:cs="MingLiU" w:asciiTheme="minorEastAsia" w:hAnsiTheme="minorEastAsia" w:eastAsiaTheme="minorEastAsia"/>
          <w:kern w:val="0"/>
          <w:szCs w:val="21"/>
        </w:rPr>
        <w:t>“</w:t>
      </w:r>
      <w:r>
        <w:rPr>
          <w:rFonts w:cs="MingLiU" w:asciiTheme="minorEastAsia" w:hAnsiTheme="minorEastAsia" w:eastAsiaTheme="minorEastAsia"/>
          <w:kern w:val="0"/>
          <w:szCs w:val="21"/>
        </w:rPr>
        <w:t>3</w:t>
      </w:r>
      <w:r>
        <w:rPr>
          <w:rFonts w:hint="eastAsia" w:cs="MingLiU" w:asciiTheme="minorEastAsia" w:hAnsiTheme="minorEastAsia" w:eastAsiaTheme="minorEastAsia"/>
          <w:spacing w:val="-16"/>
          <w:kern w:val="0"/>
          <w:szCs w:val="21"/>
        </w:rPr>
        <w:t>”</w:t>
      </w:r>
      <w:r>
        <w:rPr>
          <w:rFonts w:hint="eastAsia" w:cs="MingLiU" w:asciiTheme="minorEastAsia" w:hAnsiTheme="minorEastAsia" w:eastAsiaTheme="minorEastAsia"/>
          <w:kern w:val="0"/>
          <w:szCs w:val="21"/>
        </w:rPr>
        <w:t>后</w:t>
      </w:r>
      <w:r>
        <w:rPr>
          <w:rFonts w:hint="eastAsia" w:cs="MingLiU" w:asciiTheme="minorEastAsia" w:hAnsiTheme="minorEastAsia" w:eastAsiaTheme="minorEastAsia"/>
          <w:spacing w:val="-1"/>
          <w:kern w:val="0"/>
          <w:szCs w:val="21"/>
        </w:rPr>
        <w:t>挂</w:t>
      </w:r>
      <w:r>
        <w:rPr>
          <w:rFonts w:hint="eastAsia" w:cs="MingLiU" w:asciiTheme="minorEastAsia" w:hAnsiTheme="minorEastAsia" w:eastAsiaTheme="minorEastAsia"/>
          <w:kern w:val="0"/>
          <w:szCs w:val="21"/>
        </w:rPr>
        <w:t>机</w:t>
      </w:r>
      <w:r>
        <w:rPr>
          <w:rFonts w:hint="eastAsia" w:cs="MingLiU" w:asciiTheme="minorEastAsia" w:hAnsiTheme="minorEastAsia" w:eastAsiaTheme="minorEastAsia"/>
          <w:spacing w:val="-16"/>
          <w:kern w:val="0"/>
          <w:szCs w:val="21"/>
        </w:rPr>
        <w:t>。</w:t>
      </w:r>
      <w:r>
        <w:rPr>
          <w:rFonts w:hint="eastAsia" w:cs="MingLiU" w:asciiTheme="minorEastAsia" w:hAnsiTheme="minorEastAsia" w:eastAsiaTheme="minorEastAsia"/>
          <w:kern w:val="0"/>
          <w:szCs w:val="21"/>
        </w:rPr>
        <w:t>当对方线路空闲时</w:t>
      </w:r>
      <w:r>
        <w:rPr>
          <w:rFonts w:hint="eastAsia" w:cs="MingLiU" w:asciiTheme="minorEastAsia" w:hAnsiTheme="minorEastAsia" w:eastAsiaTheme="minorEastAsia"/>
          <w:spacing w:val="-16"/>
          <w:kern w:val="0"/>
          <w:szCs w:val="21"/>
        </w:rPr>
        <w:t>，</w:t>
      </w:r>
      <w:r>
        <w:rPr>
          <w:rFonts w:hint="eastAsia" w:cs="MingLiU" w:asciiTheme="minorEastAsia" w:hAnsiTheme="minorEastAsia" w:eastAsiaTheme="minorEastAsia"/>
          <w:kern w:val="0"/>
          <w:szCs w:val="21"/>
        </w:rPr>
        <w:t>系统先接通主叫分机，主叫分机振铃；当主叫分机提机时，被叫分机振铃提示通话。</w:t>
      </w:r>
    </w:p>
    <w:p>
      <w:pPr>
        <w:tabs>
          <w:tab w:val="left" w:pos="540"/>
        </w:tabs>
        <w:autoSpaceDE w:val="0"/>
        <w:autoSpaceDN w:val="0"/>
        <w:adjustRightInd w:val="0"/>
        <w:snapToGrid w:val="0"/>
        <w:spacing w:line="360" w:lineRule="auto"/>
        <w:ind w:left="479" w:leftChars="228" w:right="-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代接来话</w:t>
      </w:r>
      <w:r>
        <w:rPr>
          <w:rFonts w:hint="eastAsia" w:cs="MingLiU" w:asciiTheme="minorEastAsia" w:hAnsiTheme="minorEastAsia" w:eastAsiaTheme="minorEastAsia"/>
          <w:kern w:val="0"/>
          <w:szCs w:val="21"/>
        </w:rPr>
        <w:t xml:space="preserve">  若分机无人接听时，其他分机可拨功能键后代接该来话。</w:t>
      </w:r>
    </w:p>
    <w:p>
      <w:pPr>
        <w:tabs>
          <w:tab w:val="left" w:pos="420"/>
        </w:tabs>
        <w:autoSpaceDE w:val="0"/>
        <w:autoSpaceDN w:val="0"/>
        <w:adjustRightInd w:val="0"/>
        <w:snapToGrid w:val="0"/>
        <w:spacing w:line="360" w:lineRule="auto"/>
        <w:ind w:right="-124"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ab/>
      </w:r>
      <w:r>
        <w:rPr>
          <w:rFonts w:hint="eastAsia" w:cs="MingLiU" w:asciiTheme="minorEastAsia" w:hAnsiTheme="minorEastAsia" w:eastAsiaTheme="minorEastAsia"/>
          <w:b/>
          <w:kern w:val="0"/>
          <w:szCs w:val="21"/>
        </w:rPr>
        <w:t xml:space="preserve">分机热线功能 </w:t>
      </w:r>
      <w:r>
        <w:rPr>
          <w:rFonts w:hint="eastAsia" w:cs="MingLiU" w:asciiTheme="minorEastAsia" w:hAnsiTheme="minorEastAsia" w:eastAsiaTheme="minorEastAsia"/>
          <w:kern w:val="0"/>
          <w:szCs w:val="21"/>
        </w:rPr>
        <w:t xml:space="preserve"> 分机</w:t>
      </w:r>
      <w:r>
        <w:rPr>
          <w:rFonts w:hint="eastAsia" w:cs="MingLiU" w:asciiTheme="minorEastAsia" w:hAnsiTheme="minorEastAsia" w:eastAsiaTheme="minorEastAsia"/>
          <w:spacing w:val="-1"/>
          <w:kern w:val="0"/>
          <w:szCs w:val="21"/>
        </w:rPr>
        <w:t>用</w:t>
      </w:r>
      <w:r>
        <w:rPr>
          <w:rFonts w:hint="eastAsia" w:cs="MingLiU" w:asciiTheme="minorEastAsia" w:hAnsiTheme="minorEastAsia" w:eastAsiaTheme="minorEastAsia"/>
          <w:kern w:val="0"/>
          <w:szCs w:val="21"/>
        </w:rPr>
        <w:t>户提机后</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在一段时间</w:t>
      </w:r>
      <w:r>
        <w:rPr>
          <w:rFonts w:hint="eastAsia" w:cs="MingLiU" w:asciiTheme="minorEastAsia" w:hAnsiTheme="minorEastAsia" w:eastAsiaTheme="minorEastAsia"/>
          <w:spacing w:val="-19"/>
          <w:kern w:val="0"/>
          <w:szCs w:val="21"/>
        </w:rPr>
        <w:t>内</w:t>
      </w:r>
      <w:r>
        <w:rPr>
          <w:rFonts w:hint="eastAsia" w:cs="MingLiU" w:asciiTheme="minorEastAsia" w:hAnsiTheme="minorEastAsia" w:eastAsiaTheme="minorEastAsia"/>
          <w:kern w:val="0"/>
          <w:szCs w:val="21"/>
        </w:rPr>
        <w:t>（称热线时长</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分机可自行设置</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不拨号</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spacing w:val="1"/>
          <w:kern w:val="0"/>
          <w:szCs w:val="21"/>
        </w:rPr>
        <w:t>则</w:t>
      </w:r>
      <w:r>
        <w:rPr>
          <w:rFonts w:hint="eastAsia" w:cs="MingLiU" w:asciiTheme="minorEastAsia" w:hAnsiTheme="minorEastAsia" w:eastAsiaTheme="minorEastAsia"/>
          <w:kern w:val="0"/>
          <w:szCs w:val="21"/>
        </w:rPr>
        <w:t>自动呼叫事先设置的内部分</w:t>
      </w:r>
      <w:r>
        <w:rPr>
          <w:rFonts w:hint="eastAsia" w:cs="MingLiU" w:asciiTheme="minorEastAsia" w:hAnsiTheme="minorEastAsia" w:eastAsiaTheme="minorEastAsia"/>
          <w:spacing w:val="-19"/>
          <w:kern w:val="0"/>
          <w:szCs w:val="21"/>
        </w:rPr>
        <w:t>机</w:t>
      </w:r>
      <w:r>
        <w:rPr>
          <w:rFonts w:hint="eastAsia" w:cs="MingLiU" w:asciiTheme="minorEastAsia" w:hAnsiTheme="minorEastAsia" w:eastAsiaTheme="minorEastAsia"/>
          <w:kern w:val="0"/>
          <w:szCs w:val="21"/>
        </w:rPr>
        <w:t>（内部热线</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或外线号</w:t>
      </w:r>
      <w:r>
        <w:rPr>
          <w:rFonts w:hint="eastAsia" w:cs="MingLiU" w:asciiTheme="minorEastAsia" w:hAnsiTheme="minorEastAsia" w:eastAsiaTheme="minorEastAsia"/>
          <w:spacing w:val="-19"/>
          <w:kern w:val="0"/>
          <w:szCs w:val="21"/>
        </w:rPr>
        <w:t>码</w:t>
      </w:r>
      <w:r>
        <w:rPr>
          <w:rFonts w:hint="eastAsia" w:cs="MingLiU" w:asciiTheme="minorEastAsia" w:hAnsiTheme="minorEastAsia" w:eastAsiaTheme="minorEastAsia"/>
          <w:kern w:val="0"/>
          <w:szCs w:val="21"/>
        </w:rPr>
        <w:t>（外部热线</w:t>
      </w:r>
      <w:r>
        <w:rPr>
          <w:rFonts w:hint="eastAsia" w:cs="MingLiU" w:asciiTheme="minorEastAsia" w:hAnsiTheme="minorEastAsia" w:eastAsiaTheme="minorEastAsia"/>
          <w:spacing w:val="-18"/>
          <w:kern w:val="0"/>
          <w:szCs w:val="21"/>
        </w:rPr>
        <w:t>）</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也可实现提机免拨任意局向号自动出局占用中继。</w:t>
      </w:r>
    </w:p>
    <w:p>
      <w:pPr>
        <w:tabs>
          <w:tab w:val="left" w:pos="540"/>
        </w:tabs>
        <w:autoSpaceDE w:val="0"/>
        <w:autoSpaceDN w:val="0"/>
        <w:adjustRightInd w:val="0"/>
        <w:snapToGrid w:val="0"/>
        <w:spacing w:line="360" w:lineRule="auto"/>
        <w:ind w:right="135"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免打扰 </w:t>
      </w:r>
      <w:r>
        <w:rPr>
          <w:rFonts w:hint="eastAsia" w:cs="MingLiU" w:asciiTheme="minorEastAsia" w:hAnsiTheme="minorEastAsia" w:eastAsiaTheme="minorEastAsia"/>
          <w:kern w:val="0"/>
          <w:szCs w:val="21"/>
        </w:rPr>
        <w:t xml:space="preserve">  避免在休息时大量来话骚扰。</w:t>
      </w:r>
    </w:p>
    <w:p>
      <w:pPr>
        <w:autoSpaceDE w:val="0"/>
        <w:autoSpaceDN w:val="0"/>
        <w:adjustRightInd w:val="0"/>
        <w:snapToGrid w:val="0"/>
        <w:spacing w:line="360" w:lineRule="auto"/>
        <w:ind w:right="-124"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电话会议</w:t>
      </w:r>
      <w:r>
        <w:rPr>
          <w:rFonts w:hint="eastAsia" w:cs="MingLiU" w:asciiTheme="minorEastAsia" w:hAnsiTheme="minorEastAsia" w:eastAsiaTheme="minorEastAsia"/>
          <w:kern w:val="0"/>
          <w:szCs w:val="21"/>
        </w:rPr>
        <w:t xml:space="preserve">  针对于一些用户单位的重要部门为了工作的需要，采用电话的方法召集其它的部门参与会议，提高工作效率，避免人员集中的麻烦，系统开发了节资、省时、方便、高效的会议方式，十分适用。</w:t>
      </w:r>
    </w:p>
    <w:p>
      <w:pPr>
        <w:tabs>
          <w:tab w:val="left" w:pos="420"/>
        </w:tabs>
        <w:autoSpaceDE w:val="0"/>
        <w:autoSpaceDN w:val="0"/>
        <w:adjustRightInd w:val="0"/>
        <w:snapToGrid w:val="0"/>
        <w:spacing w:line="360" w:lineRule="auto"/>
        <w:ind w:right="-124"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呼叫保护</w:t>
      </w:r>
      <w:r>
        <w:rPr>
          <w:rFonts w:hint="eastAsia" w:cs="MingLiU" w:asciiTheme="minorEastAsia" w:hAnsiTheme="minorEastAsia" w:eastAsiaTheme="minorEastAsia"/>
          <w:kern w:val="0"/>
          <w:szCs w:val="21"/>
        </w:rPr>
        <w:t xml:space="preserve">  分机用户在通话期间为避免总机强插而设置，以保证传真等重要通讯不受干扰。</w:t>
      </w:r>
    </w:p>
    <w:p>
      <w:pPr>
        <w:tabs>
          <w:tab w:val="left" w:pos="420"/>
          <w:tab w:val="left" w:pos="8640"/>
        </w:tabs>
        <w:autoSpaceDE w:val="0"/>
        <w:autoSpaceDN w:val="0"/>
        <w:adjustRightInd w:val="0"/>
        <w:snapToGrid w:val="0"/>
        <w:spacing w:line="360" w:lineRule="auto"/>
        <w:ind w:left="540" w:right="135"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ab/>
      </w:r>
      <w:r>
        <w:rPr>
          <w:rFonts w:hint="eastAsia" w:cs="MingLiU" w:asciiTheme="minorEastAsia" w:hAnsiTheme="minorEastAsia" w:eastAsiaTheme="minorEastAsia"/>
          <w:b/>
          <w:kern w:val="0"/>
          <w:szCs w:val="21"/>
        </w:rPr>
        <w:t>内外线转接</w:t>
      </w:r>
      <w:r>
        <w:rPr>
          <w:rFonts w:hint="eastAsia" w:cs="MingLiU" w:asciiTheme="minorEastAsia" w:hAnsiTheme="minorEastAsia" w:eastAsiaTheme="minorEastAsia"/>
          <w:kern w:val="0"/>
          <w:szCs w:val="21"/>
        </w:rPr>
        <w:t xml:space="preserve">  可将</w:t>
      </w:r>
      <w:r>
        <w:rPr>
          <w:rFonts w:hint="eastAsia" w:cs="MingLiU" w:asciiTheme="minorEastAsia" w:hAnsiTheme="minorEastAsia" w:eastAsiaTheme="minorEastAsia"/>
          <w:spacing w:val="-1"/>
          <w:kern w:val="0"/>
          <w:szCs w:val="21"/>
        </w:rPr>
        <w:t>内</w:t>
      </w:r>
      <w:r>
        <w:rPr>
          <w:rFonts w:hint="eastAsia" w:cs="MingLiU" w:asciiTheme="minorEastAsia" w:hAnsiTheme="minorEastAsia" w:eastAsiaTheme="minorEastAsia"/>
          <w:kern w:val="0"/>
          <w:szCs w:val="21"/>
        </w:rPr>
        <w:t>外线来话拍叉进行转接。</w:t>
      </w:r>
    </w:p>
    <w:p>
      <w:pPr>
        <w:tabs>
          <w:tab w:val="left" w:pos="420"/>
        </w:tabs>
        <w:autoSpaceDE w:val="0"/>
        <w:autoSpaceDN w:val="0"/>
        <w:adjustRightInd w:val="0"/>
        <w:snapToGrid w:val="0"/>
        <w:spacing w:line="360" w:lineRule="auto"/>
        <w:ind w:right="-124"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内外线强插</w:t>
      </w:r>
      <w:r>
        <w:rPr>
          <w:rFonts w:cs="MingLiU" w:asciiTheme="minorEastAsia" w:hAnsiTheme="minorEastAsia" w:eastAsiaTheme="minorEastAsia"/>
          <w:b/>
          <w:kern w:val="0"/>
          <w:szCs w:val="21"/>
        </w:rPr>
        <w:t>/</w:t>
      </w:r>
      <w:r>
        <w:rPr>
          <w:rFonts w:hint="eastAsia" w:cs="MingLiU" w:asciiTheme="minorEastAsia" w:hAnsiTheme="minorEastAsia" w:eastAsiaTheme="minorEastAsia"/>
          <w:b/>
          <w:kern w:val="0"/>
          <w:szCs w:val="21"/>
        </w:rPr>
        <w:t>强拆功能</w:t>
      </w:r>
      <w:r>
        <w:rPr>
          <w:rFonts w:hint="eastAsia" w:cs="MingLiU" w:asciiTheme="minorEastAsia" w:hAnsiTheme="minorEastAsia" w:eastAsiaTheme="minorEastAsia"/>
          <w:kern w:val="0"/>
          <w:szCs w:val="21"/>
        </w:rPr>
        <w:t xml:space="preserve">  为保证重要电话的接入，可对正在通话的双方进行强插</w:t>
      </w:r>
      <w:r>
        <w:rPr>
          <w:rFonts w:cs="MingLiU" w:asciiTheme="minorEastAsia" w:hAnsiTheme="minorEastAsia" w:eastAsiaTheme="minorEastAsia"/>
          <w:kern w:val="0"/>
          <w:szCs w:val="21"/>
        </w:rPr>
        <w:t>/</w:t>
      </w:r>
      <w:r>
        <w:rPr>
          <w:rFonts w:hint="eastAsia" w:cs="MingLiU" w:asciiTheme="minorEastAsia" w:hAnsiTheme="minorEastAsia" w:eastAsiaTheme="minorEastAsia"/>
          <w:kern w:val="0"/>
          <w:szCs w:val="21"/>
        </w:rPr>
        <w:t>强拆。</w:t>
      </w:r>
    </w:p>
    <w:p>
      <w:pPr>
        <w:tabs>
          <w:tab w:val="left" w:pos="420"/>
        </w:tabs>
        <w:autoSpaceDE w:val="0"/>
        <w:autoSpaceDN w:val="0"/>
        <w:adjustRightInd w:val="0"/>
        <w:snapToGrid w:val="0"/>
        <w:spacing w:line="360" w:lineRule="auto"/>
        <w:ind w:right="-124" w:firstLine="632" w:firstLineChars="3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分机连选  </w:t>
      </w:r>
      <w:r>
        <w:rPr>
          <w:rFonts w:hint="eastAsia" w:cs="MingLiU" w:asciiTheme="minorEastAsia" w:hAnsiTheme="minorEastAsia" w:eastAsiaTheme="minorEastAsia"/>
          <w:kern w:val="0"/>
          <w:szCs w:val="21"/>
        </w:rPr>
        <w:t>两个以上分机使用同一号码，适用于酒店总台、商务中心和客房服务中心。最多可分</w:t>
      </w:r>
      <w:r>
        <w:rPr>
          <w:rFonts w:cs="MingLiU" w:asciiTheme="minorEastAsia" w:hAnsiTheme="minorEastAsia" w:eastAsiaTheme="minorEastAsia"/>
          <w:kern w:val="0"/>
          <w:szCs w:val="21"/>
        </w:rPr>
        <w:t xml:space="preserve">8 </w:t>
      </w:r>
      <w:r>
        <w:rPr>
          <w:rFonts w:hint="eastAsia" w:cs="MingLiU" w:asciiTheme="minorEastAsia" w:hAnsiTheme="minorEastAsia" w:eastAsiaTheme="minorEastAsia"/>
          <w:kern w:val="0"/>
          <w:szCs w:val="21"/>
        </w:rPr>
        <w:t>组，每组最多可设置</w:t>
      </w:r>
      <w:r>
        <w:rPr>
          <w:rFonts w:cs="MingLiU" w:asciiTheme="minorEastAsia" w:hAnsiTheme="minorEastAsia" w:eastAsiaTheme="minorEastAsia"/>
          <w:kern w:val="0"/>
          <w:szCs w:val="21"/>
        </w:rPr>
        <w:t xml:space="preserve"> 60 </w:t>
      </w:r>
      <w:r>
        <w:rPr>
          <w:rFonts w:hint="eastAsia" w:cs="MingLiU" w:asciiTheme="minorEastAsia" w:hAnsiTheme="minorEastAsia" w:eastAsiaTheme="minorEastAsia"/>
          <w:kern w:val="0"/>
          <w:szCs w:val="21"/>
        </w:rPr>
        <w:t>部连选分机。</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分机帐号漫游  </w:t>
      </w:r>
      <w:r>
        <w:rPr>
          <w:rFonts w:hint="eastAsia" w:cs="MingLiU" w:asciiTheme="minorEastAsia" w:hAnsiTheme="minorEastAsia" w:eastAsiaTheme="minorEastAsia"/>
          <w:spacing w:val="4"/>
          <w:kern w:val="0"/>
          <w:szCs w:val="21"/>
        </w:rPr>
        <w:t>用户利</w:t>
      </w:r>
      <w:r>
        <w:rPr>
          <w:rFonts w:hint="eastAsia" w:cs="MingLiU" w:asciiTheme="minorEastAsia" w:hAnsiTheme="minorEastAsia" w:eastAsiaTheme="minorEastAsia"/>
          <w:spacing w:val="2"/>
          <w:kern w:val="0"/>
          <w:szCs w:val="21"/>
        </w:rPr>
        <w:t>用帐</w:t>
      </w:r>
      <w:r>
        <w:rPr>
          <w:rFonts w:hint="eastAsia" w:cs="MingLiU" w:asciiTheme="minorEastAsia" w:hAnsiTheme="minorEastAsia" w:eastAsiaTheme="minorEastAsia"/>
          <w:spacing w:val="4"/>
          <w:kern w:val="0"/>
          <w:szCs w:val="21"/>
        </w:rPr>
        <w:t>号和密</w:t>
      </w:r>
      <w:r>
        <w:rPr>
          <w:rFonts w:hint="eastAsia" w:cs="MingLiU" w:asciiTheme="minorEastAsia" w:hAnsiTheme="minorEastAsia" w:eastAsiaTheme="minorEastAsia"/>
          <w:spacing w:val="2"/>
          <w:kern w:val="0"/>
          <w:szCs w:val="21"/>
        </w:rPr>
        <w:t>码在</w:t>
      </w:r>
      <w:r>
        <w:rPr>
          <w:rFonts w:hint="eastAsia" w:cs="MingLiU" w:asciiTheme="minorEastAsia" w:hAnsiTheme="minorEastAsia" w:eastAsiaTheme="minorEastAsia"/>
          <w:spacing w:val="4"/>
          <w:kern w:val="0"/>
          <w:szCs w:val="21"/>
        </w:rPr>
        <w:t>漫游范</w:t>
      </w:r>
      <w:r>
        <w:rPr>
          <w:rFonts w:hint="eastAsia" w:cs="MingLiU" w:asciiTheme="minorEastAsia" w:hAnsiTheme="minorEastAsia" w:eastAsiaTheme="minorEastAsia"/>
          <w:spacing w:val="2"/>
          <w:kern w:val="0"/>
          <w:szCs w:val="21"/>
        </w:rPr>
        <w:t>围内</w:t>
      </w:r>
      <w:r>
        <w:rPr>
          <w:rFonts w:hint="eastAsia" w:cs="MingLiU" w:asciiTheme="minorEastAsia" w:hAnsiTheme="minorEastAsia" w:eastAsiaTheme="minorEastAsia"/>
          <w:spacing w:val="4"/>
          <w:kern w:val="0"/>
          <w:szCs w:val="21"/>
        </w:rPr>
        <w:t>的分机</w:t>
      </w:r>
      <w:r>
        <w:rPr>
          <w:rFonts w:hint="eastAsia" w:cs="MingLiU" w:asciiTheme="minorEastAsia" w:hAnsiTheme="minorEastAsia" w:eastAsiaTheme="minorEastAsia"/>
          <w:spacing w:val="2"/>
          <w:kern w:val="0"/>
          <w:szCs w:val="21"/>
        </w:rPr>
        <w:t>上拨</w:t>
      </w:r>
      <w:r>
        <w:rPr>
          <w:rFonts w:hint="eastAsia" w:cs="MingLiU" w:asciiTheme="minorEastAsia" w:hAnsiTheme="minorEastAsia" w:eastAsiaTheme="minorEastAsia"/>
          <w:spacing w:val="4"/>
          <w:kern w:val="0"/>
          <w:szCs w:val="21"/>
        </w:rPr>
        <w:t>打外线</w:t>
      </w:r>
      <w:r>
        <w:rPr>
          <w:rFonts w:hint="eastAsia" w:cs="MingLiU" w:asciiTheme="minorEastAsia" w:hAnsiTheme="minorEastAsia" w:eastAsiaTheme="minorEastAsia"/>
          <w:spacing w:val="2"/>
          <w:kern w:val="0"/>
          <w:szCs w:val="21"/>
        </w:rPr>
        <w:t>，话</w:t>
      </w:r>
      <w:r>
        <w:rPr>
          <w:rFonts w:hint="eastAsia" w:cs="MingLiU" w:asciiTheme="minorEastAsia" w:hAnsiTheme="minorEastAsia" w:eastAsiaTheme="minorEastAsia"/>
          <w:spacing w:val="4"/>
          <w:kern w:val="0"/>
          <w:szCs w:val="21"/>
        </w:rPr>
        <w:t>费会如</w:t>
      </w:r>
      <w:r>
        <w:rPr>
          <w:rFonts w:hint="eastAsia" w:cs="MingLiU" w:asciiTheme="minorEastAsia" w:hAnsiTheme="minorEastAsia" w:eastAsiaTheme="minorEastAsia"/>
          <w:spacing w:val="2"/>
          <w:kern w:val="0"/>
          <w:szCs w:val="21"/>
        </w:rPr>
        <w:t>实地</w:t>
      </w:r>
      <w:r>
        <w:rPr>
          <w:rFonts w:hint="eastAsia" w:cs="MingLiU" w:asciiTheme="minorEastAsia" w:hAnsiTheme="minorEastAsia" w:eastAsiaTheme="minorEastAsia"/>
          <w:spacing w:val="4"/>
          <w:kern w:val="0"/>
          <w:szCs w:val="21"/>
        </w:rPr>
        <w:t>记载到</w:t>
      </w:r>
      <w:r>
        <w:rPr>
          <w:rFonts w:hint="eastAsia" w:cs="MingLiU" w:asciiTheme="minorEastAsia" w:hAnsiTheme="minorEastAsia" w:eastAsiaTheme="minorEastAsia"/>
          <w:spacing w:val="2"/>
          <w:kern w:val="0"/>
          <w:szCs w:val="21"/>
        </w:rPr>
        <w:t>个</w:t>
      </w:r>
      <w:r>
        <w:rPr>
          <w:rFonts w:hint="eastAsia" w:cs="MingLiU" w:asciiTheme="minorEastAsia" w:hAnsiTheme="minorEastAsia" w:eastAsiaTheme="minorEastAsia"/>
          <w:spacing w:val="4"/>
          <w:kern w:val="0"/>
          <w:szCs w:val="21"/>
        </w:rPr>
        <w:t>人</w:t>
      </w:r>
      <w:r>
        <w:rPr>
          <w:rFonts w:hint="eastAsia" w:cs="MingLiU" w:asciiTheme="minorEastAsia" w:hAnsiTheme="minorEastAsia" w:eastAsiaTheme="minorEastAsia"/>
          <w:spacing w:val="5"/>
          <w:kern w:val="0"/>
          <w:szCs w:val="21"/>
        </w:rPr>
        <w:t>帐</w:t>
      </w:r>
      <w:r>
        <w:rPr>
          <w:rFonts w:hint="eastAsia" w:cs="MingLiU" w:asciiTheme="minorEastAsia" w:hAnsiTheme="minorEastAsia" w:eastAsiaTheme="minorEastAsia"/>
          <w:spacing w:val="4"/>
          <w:kern w:val="0"/>
          <w:szCs w:val="21"/>
        </w:rPr>
        <w:t>号</w:t>
      </w:r>
      <w:r>
        <w:rPr>
          <w:rFonts w:hint="eastAsia" w:cs="MingLiU" w:asciiTheme="minorEastAsia" w:hAnsiTheme="minorEastAsia" w:eastAsiaTheme="minorEastAsia"/>
          <w:kern w:val="0"/>
          <w:szCs w:val="21"/>
        </w:rPr>
        <w:t>上。漫游范围可以是全系统也可以是固定电话。</w:t>
      </w:r>
    </w:p>
    <w:p>
      <w:pPr>
        <w:autoSpaceDE w:val="0"/>
        <w:autoSpaceDN w:val="0"/>
        <w:adjustRightInd w:val="0"/>
        <w:snapToGrid w:val="0"/>
        <w:spacing w:line="360" w:lineRule="auto"/>
        <w:ind w:left="120" w:right="-94" w:firstLine="422" w:firstLineChars="200"/>
        <w:jc w:val="left"/>
        <w:rPr>
          <w:rFonts w:cs="MingLiU" w:asciiTheme="minorEastAsia" w:hAnsiTheme="minorEastAsia" w:eastAsiaTheme="minorEastAsia"/>
          <w:spacing w:val="4"/>
          <w:kern w:val="0"/>
          <w:szCs w:val="21"/>
        </w:rPr>
      </w:pPr>
      <w:r>
        <w:rPr>
          <w:rFonts w:hint="eastAsia" w:cs="MingLiU" w:asciiTheme="minorEastAsia" w:hAnsiTheme="minorEastAsia" w:eastAsiaTheme="minorEastAsia"/>
          <w:b/>
          <w:kern w:val="0"/>
          <w:szCs w:val="21"/>
        </w:rPr>
        <w:t>作息锁定</w:t>
      </w:r>
      <w:r>
        <w:rPr>
          <w:rFonts w:hint="eastAsia" w:cs="MingLiU" w:asciiTheme="minorEastAsia" w:hAnsiTheme="minorEastAsia" w:eastAsiaTheme="minorEastAsia"/>
          <w:spacing w:val="4"/>
          <w:kern w:val="0"/>
          <w:szCs w:val="21"/>
        </w:rPr>
        <w:t xml:space="preserve"> 指定时间内限制分机呼入呼出。</w:t>
      </w:r>
    </w:p>
    <w:p>
      <w:pPr>
        <w:autoSpaceDE w:val="0"/>
        <w:autoSpaceDN w:val="0"/>
        <w:adjustRightInd w:val="0"/>
        <w:snapToGrid w:val="0"/>
        <w:spacing w:line="360" w:lineRule="auto"/>
        <w:ind w:left="120" w:right="-94" w:firstLine="422" w:firstLineChars="200"/>
        <w:jc w:val="left"/>
        <w:rPr>
          <w:rFonts w:cs="MingLiU" w:asciiTheme="minorEastAsia" w:hAnsiTheme="minorEastAsia" w:eastAsiaTheme="minorEastAsia"/>
          <w:spacing w:val="4"/>
          <w:kern w:val="0"/>
          <w:szCs w:val="21"/>
        </w:rPr>
      </w:pPr>
      <w:r>
        <w:rPr>
          <w:rFonts w:hint="eastAsia" w:cs="MingLiU" w:asciiTheme="minorEastAsia" w:hAnsiTheme="minorEastAsia" w:eastAsiaTheme="minorEastAsia"/>
          <w:b/>
          <w:kern w:val="0"/>
          <w:szCs w:val="21"/>
        </w:rPr>
        <w:t>长途密码锁定功能</w:t>
      </w:r>
      <w:r>
        <w:rPr>
          <w:rFonts w:hint="eastAsia" w:cs="MingLiU" w:asciiTheme="minorEastAsia" w:hAnsiTheme="minorEastAsia" w:eastAsiaTheme="minorEastAsia"/>
          <w:spacing w:val="4"/>
          <w:kern w:val="0"/>
          <w:szCs w:val="21"/>
        </w:rPr>
        <w:t xml:space="preserve"> 防止他人盗打长途而开发的，当设置长途密码后，用户仍能正常拨打内线、市话，同时也不影响外线呼入。</w:t>
      </w:r>
    </w:p>
    <w:p>
      <w:pPr>
        <w:autoSpaceDE w:val="0"/>
        <w:autoSpaceDN w:val="0"/>
        <w:adjustRightInd w:val="0"/>
        <w:snapToGrid w:val="0"/>
        <w:spacing w:line="360" w:lineRule="auto"/>
        <w:ind w:left="120" w:right="-94" w:firstLine="422" w:firstLineChars="200"/>
        <w:jc w:val="left"/>
        <w:rPr>
          <w:rFonts w:cs="MingLiU" w:asciiTheme="minorEastAsia" w:hAnsiTheme="minorEastAsia" w:eastAsiaTheme="minorEastAsia"/>
          <w:spacing w:val="4"/>
          <w:kern w:val="0"/>
          <w:szCs w:val="21"/>
        </w:rPr>
      </w:pPr>
      <w:r>
        <w:rPr>
          <w:rFonts w:hint="eastAsia" w:cs="MingLiU" w:asciiTheme="minorEastAsia" w:hAnsiTheme="minorEastAsia" w:eastAsiaTheme="minorEastAsia"/>
          <w:b/>
          <w:kern w:val="0"/>
          <w:szCs w:val="21"/>
        </w:rPr>
        <w:t>叫醒服务（闹钟服务）</w:t>
      </w:r>
      <w:r>
        <w:rPr>
          <w:rFonts w:hint="eastAsia" w:cs="MingLiU" w:asciiTheme="minorEastAsia" w:hAnsiTheme="minorEastAsia" w:eastAsiaTheme="minorEastAsia"/>
          <w:spacing w:val="4"/>
          <w:kern w:val="0"/>
          <w:szCs w:val="21"/>
        </w:rPr>
        <w:t>为使宾馆叫醒服务智能化、灵活化而设计，由分机或总机设定叫醒时间，当叫醒时间到时，分机会自动振铃提醒宾客。</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spacing w:val="4"/>
          <w:kern w:val="0"/>
          <w:szCs w:val="21"/>
        </w:rPr>
      </w:pPr>
      <w:r>
        <w:rPr>
          <w:rFonts w:hint="eastAsia" w:cs="MingLiU" w:asciiTheme="minorEastAsia" w:hAnsiTheme="minorEastAsia" w:eastAsiaTheme="minorEastAsia"/>
          <w:b/>
          <w:kern w:val="0"/>
          <w:szCs w:val="21"/>
        </w:rPr>
        <w:t>久叫不应转总机</w:t>
      </w:r>
      <w:r>
        <w:rPr>
          <w:rFonts w:hint="eastAsia" w:cs="MingLiU" w:asciiTheme="minorEastAsia" w:hAnsiTheme="minorEastAsia" w:eastAsiaTheme="minorEastAsia"/>
          <w:spacing w:val="4"/>
          <w:kern w:val="0"/>
          <w:szCs w:val="21"/>
        </w:rPr>
        <w:t>外线听语音呼入拨分机号码，若被叫分机无人接听，系统可选择转总机</w:t>
      </w:r>
      <w:r>
        <w:rPr>
          <w:rFonts w:cs="MingLiU" w:asciiTheme="minorEastAsia" w:hAnsiTheme="minorEastAsia" w:eastAsiaTheme="minorEastAsia"/>
          <w:spacing w:val="4"/>
          <w:kern w:val="0"/>
          <w:szCs w:val="21"/>
        </w:rPr>
        <w:t xml:space="preserve">, </w:t>
      </w:r>
      <w:r>
        <w:rPr>
          <w:rFonts w:hint="eastAsia" w:cs="MingLiU" w:asciiTheme="minorEastAsia" w:hAnsiTheme="minorEastAsia" w:eastAsiaTheme="minorEastAsia"/>
          <w:spacing w:val="4"/>
          <w:kern w:val="0"/>
          <w:szCs w:val="21"/>
        </w:rPr>
        <w:t>久叫不应振铃次数可设。</w:t>
      </w:r>
    </w:p>
    <w:p>
      <w:pPr>
        <w:autoSpaceDE w:val="0"/>
        <w:autoSpaceDN w:val="0"/>
        <w:adjustRightInd w:val="0"/>
        <w:snapToGrid w:val="0"/>
        <w:spacing w:line="360" w:lineRule="auto"/>
        <w:ind w:left="120" w:right="-94" w:firstLine="422" w:firstLineChars="200"/>
        <w:jc w:val="left"/>
        <w:rPr>
          <w:rFonts w:cs="MingLiU" w:asciiTheme="minorEastAsia" w:hAnsiTheme="minorEastAsia" w:eastAsiaTheme="minorEastAsia"/>
          <w:spacing w:val="4"/>
          <w:kern w:val="0"/>
          <w:szCs w:val="21"/>
        </w:rPr>
      </w:pPr>
      <w:r>
        <w:rPr>
          <w:rFonts w:hint="eastAsia" w:cs="MingLiU" w:asciiTheme="minorEastAsia" w:hAnsiTheme="minorEastAsia" w:eastAsiaTheme="minorEastAsia"/>
          <w:b/>
          <w:kern w:val="0"/>
          <w:szCs w:val="21"/>
        </w:rPr>
        <w:t>直拨遇忙转总机</w:t>
      </w:r>
      <w:r>
        <w:rPr>
          <w:rFonts w:hint="eastAsia" w:cs="MingLiU" w:asciiTheme="minorEastAsia" w:hAnsiTheme="minorEastAsia" w:eastAsiaTheme="minorEastAsia"/>
          <w:spacing w:val="4"/>
          <w:kern w:val="0"/>
          <w:szCs w:val="21"/>
        </w:rPr>
        <w:t xml:space="preserve">  外线听语音呼入，拨分机号码，若遇被叫分机忙的话，系统可选择转总机。</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自录语音   </w:t>
      </w:r>
      <w:r>
        <w:rPr>
          <w:rFonts w:hint="eastAsia" w:cs="MingLiU" w:asciiTheme="minorEastAsia" w:hAnsiTheme="minorEastAsia" w:eastAsiaTheme="minorEastAsia"/>
          <w:kern w:val="0"/>
          <w:szCs w:val="21"/>
        </w:rPr>
        <w:t>用户可根据自身要求录制提示语音，录音时间最长可达</w:t>
      </w:r>
      <w:r>
        <w:rPr>
          <w:rFonts w:cs="MingLiU" w:asciiTheme="minorEastAsia" w:hAnsiTheme="minorEastAsia" w:eastAsiaTheme="minorEastAsia"/>
          <w:kern w:val="0"/>
          <w:szCs w:val="21"/>
        </w:rPr>
        <w:t>11.8</w:t>
      </w:r>
      <w:r>
        <w:rPr>
          <w:rFonts w:hint="eastAsia" w:cs="MingLiU" w:asciiTheme="minorEastAsia" w:hAnsiTheme="minorEastAsia" w:eastAsiaTheme="minorEastAsia"/>
          <w:kern w:val="0"/>
          <w:szCs w:val="21"/>
        </w:rPr>
        <w:t>秒。</w:t>
      </w:r>
    </w:p>
    <w:p>
      <w:pPr>
        <w:tabs>
          <w:tab w:val="left" w:pos="142"/>
        </w:tabs>
        <w:autoSpaceDE w:val="0"/>
        <w:autoSpaceDN w:val="0"/>
        <w:adjustRightInd w:val="0"/>
        <w:snapToGrid w:val="0"/>
        <w:spacing w:line="360" w:lineRule="auto"/>
        <w:ind w:left="143" w:leftChars="68" w:right="-19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夜服功能</w:t>
      </w:r>
      <w:r>
        <w:rPr>
          <w:rFonts w:hint="eastAsia" w:cs="MingLiU" w:asciiTheme="minorEastAsia" w:hAnsiTheme="minorEastAsia" w:eastAsiaTheme="minorEastAsia"/>
          <w:kern w:val="0"/>
          <w:szCs w:val="21"/>
        </w:rPr>
        <w:t xml:space="preserve">  当值班分机无人值班时</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可启</w:t>
      </w:r>
      <w:r>
        <w:rPr>
          <w:rFonts w:hint="eastAsia" w:cs="MingLiU" w:asciiTheme="minorEastAsia" w:hAnsiTheme="minorEastAsia" w:eastAsiaTheme="minorEastAsia"/>
          <w:spacing w:val="-19"/>
          <w:kern w:val="0"/>
          <w:szCs w:val="21"/>
        </w:rPr>
        <w:t>用</w:t>
      </w:r>
      <w:r>
        <w:rPr>
          <w:rFonts w:hint="eastAsia" w:cs="MingLiU" w:asciiTheme="minorEastAsia" w:hAnsiTheme="minorEastAsia" w:eastAsiaTheme="minorEastAsia"/>
          <w:kern w:val="0"/>
          <w:szCs w:val="21"/>
        </w:rPr>
        <w:t>“</w:t>
      </w:r>
      <w:r>
        <w:rPr>
          <w:rFonts w:hint="eastAsia" w:cs="MingLiU" w:asciiTheme="minorEastAsia" w:hAnsiTheme="minorEastAsia" w:eastAsiaTheme="minorEastAsia"/>
          <w:spacing w:val="1"/>
          <w:kern w:val="0"/>
          <w:szCs w:val="21"/>
        </w:rPr>
        <w:t>夜</w:t>
      </w:r>
      <w:r>
        <w:rPr>
          <w:rFonts w:hint="eastAsia" w:cs="MingLiU" w:asciiTheme="minorEastAsia" w:hAnsiTheme="minorEastAsia" w:eastAsiaTheme="minorEastAsia"/>
          <w:kern w:val="0"/>
          <w:szCs w:val="21"/>
        </w:rPr>
        <w:t>间服务</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功能</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中继呼入</w:t>
      </w:r>
      <w:r>
        <w:rPr>
          <w:rFonts w:hint="eastAsia" w:cs="MingLiU" w:asciiTheme="minorEastAsia" w:hAnsiTheme="minorEastAsia" w:eastAsiaTheme="minorEastAsia"/>
          <w:spacing w:val="-19"/>
          <w:kern w:val="0"/>
          <w:szCs w:val="21"/>
        </w:rPr>
        <w:t>，</w:t>
      </w:r>
      <w:r>
        <w:rPr>
          <w:rFonts w:hint="eastAsia" w:cs="MingLiU" w:asciiTheme="minorEastAsia" w:hAnsiTheme="minorEastAsia" w:eastAsiaTheme="minorEastAsia"/>
          <w:kern w:val="0"/>
          <w:szCs w:val="21"/>
        </w:rPr>
        <w:t>由夜服分机振铃接听并进行话务转接。</w:t>
      </w:r>
    </w:p>
    <w:p>
      <w:pPr>
        <w:tabs>
          <w:tab w:val="left" w:pos="142"/>
        </w:tabs>
        <w:autoSpaceDE w:val="0"/>
        <w:autoSpaceDN w:val="0"/>
        <w:adjustRightInd w:val="0"/>
        <w:snapToGrid w:val="0"/>
        <w:spacing w:line="360" w:lineRule="auto"/>
        <w:ind w:left="143" w:leftChars="68" w:right="-19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呼入计费</w:t>
      </w:r>
      <w:r>
        <w:rPr>
          <w:rFonts w:hint="eastAsia" w:cs="MingLiU" w:asciiTheme="minorEastAsia" w:hAnsiTheme="minorEastAsia" w:eastAsiaTheme="minorEastAsia"/>
          <w:kern w:val="0"/>
          <w:szCs w:val="21"/>
        </w:rPr>
        <w:t xml:space="preserve">  数字程控用户调度机可对外线呼入电话进行计费、查询、结算和打印话单，该功能适合于收费的信息台或有偿服务部门使用。</w:t>
      </w:r>
    </w:p>
    <w:p>
      <w:pPr>
        <w:tabs>
          <w:tab w:val="left" w:pos="54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b/>
          <w:kern w:val="0"/>
          <w:szCs w:val="21"/>
        </w:rPr>
      </w:pPr>
      <w:r>
        <w:rPr>
          <w:rFonts w:hint="eastAsia" w:cs="MingLiU" w:asciiTheme="minorEastAsia" w:hAnsiTheme="minorEastAsia" w:eastAsiaTheme="minorEastAsia"/>
          <w:b/>
          <w:kern w:val="0"/>
          <w:szCs w:val="21"/>
        </w:rPr>
        <w:t>内置式语音信箱</w:t>
      </w:r>
    </w:p>
    <w:p>
      <w:pPr>
        <w:autoSpaceDE w:val="0"/>
        <w:autoSpaceDN w:val="0"/>
        <w:adjustRightInd w:val="0"/>
        <w:snapToGrid w:val="0"/>
        <w:spacing w:line="360" w:lineRule="auto"/>
        <w:ind w:left="360" w:right="-67" w:firstLine="84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w w:val="200"/>
          <w:kern w:val="0"/>
          <w:szCs w:val="21"/>
        </w:rPr>
        <w:t>·</w:t>
      </w:r>
      <w:r>
        <w:rPr>
          <w:rFonts w:hint="eastAsia" w:cs="MingLiU" w:asciiTheme="minorEastAsia" w:hAnsiTheme="minorEastAsia" w:eastAsiaTheme="minorEastAsia"/>
          <w:kern w:val="0"/>
          <w:szCs w:val="21"/>
        </w:rPr>
        <w:t>人性化语音信箱，根据电话操作过程，自动发出各种提示音，以确定参数设置正确。</w:t>
      </w:r>
    </w:p>
    <w:p>
      <w:pPr>
        <w:autoSpaceDE w:val="0"/>
        <w:autoSpaceDN w:val="0"/>
        <w:adjustRightInd w:val="0"/>
        <w:snapToGrid w:val="0"/>
        <w:spacing w:line="360" w:lineRule="auto"/>
        <w:ind w:left="360" w:right="-20" w:firstLine="84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w w:val="200"/>
          <w:kern w:val="0"/>
          <w:szCs w:val="21"/>
        </w:rPr>
        <w:t>·</w:t>
      </w:r>
      <w:r>
        <w:rPr>
          <w:rFonts w:hint="eastAsia" w:cs="MingLiU" w:asciiTheme="minorEastAsia" w:hAnsiTheme="minorEastAsia" w:eastAsiaTheme="minorEastAsia"/>
          <w:kern w:val="0"/>
          <w:szCs w:val="21"/>
        </w:rPr>
        <w:t>本机为用户提供状态语音，如日期、时间、话费、分机号码等。</w:t>
      </w:r>
    </w:p>
    <w:p>
      <w:pPr>
        <w:autoSpaceDE w:val="0"/>
        <w:autoSpaceDN w:val="0"/>
        <w:adjustRightInd w:val="0"/>
        <w:snapToGrid w:val="0"/>
        <w:spacing w:line="360" w:lineRule="auto"/>
        <w:ind w:left="360" w:right="-20" w:firstLine="84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w w:val="200"/>
          <w:kern w:val="0"/>
          <w:szCs w:val="21"/>
        </w:rPr>
        <w:t>·</w:t>
      </w:r>
      <w:r>
        <w:rPr>
          <w:rFonts w:hint="eastAsia" w:cs="MingLiU" w:asciiTheme="minorEastAsia" w:hAnsiTheme="minorEastAsia" w:eastAsiaTheme="minorEastAsia"/>
          <w:kern w:val="0"/>
          <w:szCs w:val="21"/>
        </w:rPr>
        <w:t>可为用户录制特殊电脑话务语音。</w:t>
      </w:r>
    </w:p>
    <w:p>
      <w:pPr>
        <w:tabs>
          <w:tab w:val="left" w:pos="520"/>
        </w:tabs>
        <w:autoSpaceDE w:val="0"/>
        <w:autoSpaceDN w:val="0"/>
        <w:adjustRightInd w:val="0"/>
        <w:snapToGrid w:val="0"/>
        <w:spacing w:line="360" w:lineRule="auto"/>
        <w:ind w:left="120" w:leftChars="57" w:right="-20"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押金控制   </w:t>
      </w:r>
      <w:r>
        <w:rPr>
          <w:rFonts w:hint="eastAsia" w:cs="MingLiU" w:asciiTheme="minorEastAsia" w:hAnsiTheme="minorEastAsia" w:eastAsiaTheme="minorEastAsia"/>
          <w:kern w:val="0"/>
          <w:szCs w:val="21"/>
        </w:rPr>
        <w:t>系统根据押金策略实时控制押金，当押金余额减少到最低押金时，会自动降低等级或中断通话，不会使分机或帐号话费超支。</w:t>
      </w:r>
    </w:p>
    <w:p>
      <w:pPr>
        <w:tabs>
          <w:tab w:val="left" w:pos="142"/>
        </w:tabs>
        <w:autoSpaceDE w:val="0"/>
        <w:autoSpaceDN w:val="0"/>
        <w:adjustRightInd w:val="0"/>
        <w:snapToGrid w:val="0"/>
        <w:spacing w:line="360" w:lineRule="auto"/>
        <w:ind w:left="143" w:leftChars="68" w:right="-19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话单话费查询 </w:t>
      </w:r>
      <w:r>
        <w:rPr>
          <w:rFonts w:hint="eastAsia" w:cs="MingLiU" w:asciiTheme="minorEastAsia" w:hAnsiTheme="minorEastAsia" w:eastAsiaTheme="minorEastAsia"/>
          <w:kern w:val="0"/>
          <w:szCs w:val="21"/>
        </w:rPr>
        <w:t>数字程控用户调度机可根据用户需要查询或结算某时段内全部分机、单个分机的话费总额，并可打印话费话单和累计话单。</w:t>
      </w:r>
    </w:p>
    <w:p>
      <w:pPr>
        <w:tabs>
          <w:tab w:val="left" w:pos="540"/>
        </w:tabs>
        <w:autoSpaceDE w:val="0"/>
        <w:autoSpaceDN w:val="0"/>
        <w:adjustRightInd w:val="0"/>
        <w:snapToGrid w:val="0"/>
        <w:spacing w:line="360" w:lineRule="auto"/>
        <w:ind w:left="120" w:right="-20"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多种计费方式，灵活费率设置与调整；手机、长途、</w:t>
      </w:r>
      <w:r>
        <w:rPr>
          <w:rFonts w:cs="MingLiU" w:asciiTheme="minorEastAsia" w:hAnsiTheme="minorEastAsia" w:eastAsiaTheme="minorEastAsia"/>
          <w:kern w:val="0"/>
          <w:szCs w:val="21"/>
        </w:rPr>
        <w:t>IP</w:t>
      </w:r>
      <w:r>
        <w:rPr>
          <w:rFonts w:hint="eastAsia" w:cs="MingLiU" w:asciiTheme="minorEastAsia" w:hAnsiTheme="minorEastAsia" w:eastAsiaTheme="minorEastAsia"/>
          <w:spacing w:val="-1"/>
          <w:kern w:val="0"/>
          <w:szCs w:val="21"/>
        </w:rPr>
        <w:t>电</w:t>
      </w:r>
      <w:r>
        <w:rPr>
          <w:rFonts w:hint="eastAsia" w:cs="MingLiU" w:asciiTheme="minorEastAsia" w:hAnsiTheme="minorEastAsia" w:eastAsiaTheme="minorEastAsia"/>
          <w:kern w:val="0"/>
          <w:szCs w:val="21"/>
        </w:rPr>
        <w:t>话等能实现单独计费。</w:t>
      </w:r>
    </w:p>
    <w:p>
      <w:pPr>
        <w:tabs>
          <w:tab w:val="left" w:pos="540"/>
        </w:tabs>
        <w:autoSpaceDE w:val="0"/>
        <w:autoSpaceDN w:val="0"/>
        <w:adjustRightInd w:val="0"/>
        <w:snapToGrid w:val="0"/>
        <w:spacing w:line="360" w:lineRule="auto"/>
        <w:ind w:left="120" w:right="-20" w:firstLine="420"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kern w:val="0"/>
          <w:szCs w:val="21"/>
        </w:rPr>
        <w:t>四套计费参数，不同的中继可采用不同的计费方式。</w:t>
      </w:r>
    </w:p>
    <w:p>
      <w:pPr>
        <w:tabs>
          <w:tab w:val="left" w:pos="142"/>
        </w:tabs>
        <w:autoSpaceDE w:val="0"/>
        <w:autoSpaceDN w:val="0"/>
        <w:adjustRightInd w:val="0"/>
        <w:snapToGrid w:val="0"/>
        <w:spacing w:line="360" w:lineRule="auto"/>
        <w:ind w:left="143" w:leftChars="68" w:right="-197" w:firstLine="422" w:firstLineChars="200"/>
        <w:jc w:val="left"/>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 xml:space="preserve">分时段话费折价 </w:t>
      </w:r>
      <w:r>
        <w:rPr>
          <w:rFonts w:hint="eastAsia" w:cs="MingLiU" w:asciiTheme="minorEastAsia" w:hAnsiTheme="minorEastAsia" w:eastAsiaTheme="minorEastAsia"/>
          <w:kern w:val="0"/>
          <w:szCs w:val="21"/>
        </w:rPr>
        <w:t>数字程控用户调度机可提供符合电信标准的国际、港澳台、国内等长途电话话费分时段折价计费管理。用户可根据有关标准及内部需要，予以修改折价时间和折价日期。</w:t>
      </w:r>
    </w:p>
    <w:p>
      <w:pPr>
        <w:tabs>
          <w:tab w:val="left" w:pos="1040"/>
        </w:tabs>
        <w:adjustRightInd w:val="0"/>
        <w:snapToGrid w:val="0"/>
        <w:spacing w:line="360" w:lineRule="auto"/>
        <w:ind w:firstLine="422" w:firstLineChars="200"/>
        <w:rPr>
          <w:rFonts w:cs="MingLiU" w:asciiTheme="minorEastAsia" w:hAnsiTheme="minorEastAsia" w:eastAsiaTheme="minorEastAsia"/>
          <w:kern w:val="0"/>
          <w:szCs w:val="21"/>
        </w:rPr>
      </w:pPr>
      <w:r>
        <w:rPr>
          <w:rFonts w:hint="eastAsia" w:cs="MingLiU" w:asciiTheme="minorEastAsia" w:hAnsiTheme="minorEastAsia" w:eastAsiaTheme="minorEastAsia"/>
          <w:b/>
          <w:kern w:val="0"/>
          <w:szCs w:val="21"/>
        </w:rPr>
        <w:t>内部电话计费</w:t>
      </w:r>
      <w:r>
        <w:rPr>
          <w:rFonts w:hint="eastAsia" w:cs="MingLiU" w:asciiTheme="minorEastAsia" w:hAnsiTheme="minorEastAsia" w:eastAsiaTheme="minorEastAsia"/>
          <w:kern w:val="0"/>
          <w:szCs w:val="21"/>
        </w:rPr>
        <w:t xml:space="preserve">  可设月租费与通话费。</w:t>
      </w:r>
    </w:p>
    <w:p>
      <w:pPr>
        <w:tabs>
          <w:tab w:val="left" w:pos="1040"/>
        </w:tabs>
        <w:adjustRightInd w:val="0"/>
        <w:snapToGrid w:val="0"/>
        <w:spacing w:line="360" w:lineRule="auto"/>
        <w:ind w:firstLine="422" w:firstLineChars="200"/>
        <w:rPr>
          <w:rFonts w:ascii="宋体" w:hAnsi="宋体" w:cs="MingLiU"/>
          <w:kern w:val="0"/>
          <w:szCs w:val="21"/>
        </w:rPr>
      </w:pPr>
      <w:r>
        <w:rPr>
          <w:rFonts w:hint="eastAsia" w:cs="MingLiU" w:asciiTheme="minorEastAsia" w:hAnsiTheme="minorEastAsia" w:eastAsiaTheme="minorEastAsia"/>
          <w:b/>
          <w:kern w:val="0"/>
          <w:szCs w:val="21"/>
        </w:rPr>
        <w:t>中继联网功能</w:t>
      </w:r>
      <w:r>
        <w:rPr>
          <w:rFonts w:hint="eastAsia" w:cs="MingLiU" w:asciiTheme="minorEastAsia" w:hAnsiTheme="minorEastAsia" w:eastAsiaTheme="minorEastAsia"/>
          <w:kern w:val="0"/>
          <w:szCs w:val="21"/>
        </w:rPr>
        <w:t xml:space="preserve">  系统能支持数字中继(SS1\SS7\PRI信令)和环路中继联网,能够和无线通信系统和广播通信系统实现互联互通。</w:t>
      </w:r>
    </w:p>
    <w:p>
      <w:pPr>
        <w:tabs>
          <w:tab w:val="center" w:pos="4486"/>
          <w:tab w:val="left" w:pos="8115"/>
        </w:tabs>
        <w:adjustRightInd w:val="0"/>
        <w:snapToGrid w:val="0"/>
        <w:spacing w:beforeLines="100" w:line="480" w:lineRule="auto"/>
        <w:jc w:val="left"/>
        <w:outlineLvl w:val="2"/>
        <w:rPr>
          <w:rFonts w:ascii="宋体" w:hAnsi="宋体"/>
          <w:b/>
          <w:sz w:val="24"/>
          <w:szCs w:val="24"/>
        </w:rPr>
      </w:pPr>
      <w:bookmarkStart w:id="50" w:name="_Toc285490157"/>
      <w:r>
        <w:rPr>
          <w:rFonts w:hint="eastAsia" w:ascii="宋体" w:hAnsi="宋体"/>
          <w:b/>
          <w:sz w:val="24"/>
          <w:szCs w:val="24"/>
        </w:rPr>
        <w:t>3.2 设备规范</w:t>
      </w:r>
      <w:bookmarkEnd w:id="50"/>
    </w:p>
    <w:p>
      <w:pPr>
        <w:pStyle w:val="17"/>
        <w:adjustRightInd w:val="0"/>
        <w:snapToGrid w:val="0"/>
        <w:spacing w:beforeLines="50" w:afterLines="50" w:line="360" w:lineRule="auto"/>
        <w:ind w:firstLine="482" w:firstLineChars="200"/>
        <w:rPr>
          <w:rFonts w:ascii="宋体" w:hAnsi="宋体" w:cs="宋体"/>
          <w:b/>
          <w:sz w:val="24"/>
          <w:szCs w:val="24"/>
        </w:rPr>
      </w:pPr>
      <w:bookmarkStart w:id="51" w:name="_Toc285490158"/>
      <w:r>
        <w:rPr>
          <w:rFonts w:hint="eastAsia" w:ascii="宋体" w:hAnsi="宋体" w:cs="宋体"/>
          <w:b/>
          <w:sz w:val="24"/>
          <w:szCs w:val="24"/>
        </w:rPr>
        <w:t>1、基本技术功能要求</w:t>
      </w:r>
      <w:bookmarkEnd w:id="51"/>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（1）应具有汇接功能。局向数要求不小于8。</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（2）调度呼叫用户无链路阻塞。</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（3）用户呼叫调度无链路阻塞。</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（4）交换机的重要部件，如主处理机、交换网络、二次电源及信号音板等必须采用热备份结构，具有告警、故障自动诊断、倒换等功能。主备用自动倒换，应不影响正在进行的任何形式的通话。</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（5）调度通话优先，任意数量用户摘机、通话或拨号状态，调度均可直呼用户、中继；用户、中继均可直呼或热线呼叫调度台。</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（6）调度台应具有强拆、强插、呼叫转移、保持、一键群呼等功能。可强拆、强插正在进行内部通话的分机用户的通话。</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（7）调度台话机具有最高优先权。调度台能主动建立或拆除某些用户间的通话，能对任一用户呼叫、插话或拆除。</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（8）调度台可以系统内所有分机实现一键全呼功能，所以分机都振铃、并能接听电话。</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（9）系统内调度与分机之间、任何分机与分机之间通话都可录音。</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（10） 当用户有紧急情况发起紧急呼叫时，可以强插调度总机与调度总机进行通话（不管总机是否空闲）</w:t>
      </w:r>
    </w:p>
    <w:p>
      <w:pPr>
        <w:pStyle w:val="17"/>
        <w:adjustRightInd w:val="0"/>
        <w:snapToGrid w:val="0"/>
        <w:spacing w:beforeLines="50" w:afterLines="50" w:line="360" w:lineRule="auto"/>
        <w:ind w:firstLine="482" w:firstLineChars="200"/>
        <w:rPr>
          <w:rFonts w:ascii="宋体" w:hAnsi="宋体" w:cs="宋体"/>
          <w:b/>
          <w:sz w:val="24"/>
          <w:szCs w:val="24"/>
        </w:rPr>
      </w:pPr>
      <w:bookmarkStart w:id="52" w:name="_Toc285490159"/>
      <w:r>
        <w:rPr>
          <w:rFonts w:hint="eastAsia" w:ascii="宋体" w:hAnsi="宋体" w:cs="宋体"/>
          <w:b/>
          <w:sz w:val="24"/>
          <w:szCs w:val="24"/>
        </w:rPr>
        <w:t>2、调度功能</w:t>
      </w:r>
      <w:bookmarkEnd w:id="52"/>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（1）调度台应具备“功能键”和“用户键”两大类操作键，供调度员操作。用户键，代表一个号码；可以为用户/中继号码，也可为组呼时的组号。功能键，能提供完成各种调度、会议、转接等功能的键。</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（2）调度台的每个“用户键”可设置成与一个用户（公用网、煤矿专网或分机用户，外线用户），一条中继，一个组呼或一个会议相对应，并能直观地将设置内容显示于各“用户键”上。</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（3）“组呼”功能的等级设置功能</w:t>
      </w:r>
    </w:p>
    <w:p>
      <w:pPr>
        <w:pStyle w:val="17"/>
        <w:adjustRightInd w:val="0"/>
        <w:snapToGrid w:val="0"/>
        <w:spacing w:beforeLines="50" w:afterLines="50" w:line="360" w:lineRule="auto"/>
        <w:ind w:firstLine="482" w:firstLineChars="200"/>
        <w:rPr>
          <w:rFonts w:ascii="宋体" w:hAnsi="宋体" w:cs="宋体"/>
          <w:b/>
          <w:sz w:val="24"/>
          <w:szCs w:val="24"/>
        </w:rPr>
      </w:pPr>
      <w:bookmarkStart w:id="53" w:name="_Toc285490160"/>
      <w:r>
        <w:rPr>
          <w:rFonts w:hint="eastAsia" w:ascii="宋体" w:hAnsi="宋体" w:cs="宋体"/>
          <w:b/>
          <w:sz w:val="24"/>
          <w:szCs w:val="24"/>
        </w:rPr>
        <w:t>3、电话会议功能</w:t>
      </w:r>
      <w:bookmarkEnd w:id="53"/>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（1）调度台能通过点呼或会议组呼呼出会议出席者，并具有增减用户及“点名”的功能。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（2）调度台与会议主席可为双向用户，会议出席者为单/双工通话用户，由调度员完成操作控制。</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（3）调度台可中途退出/返回会议（在此期间调度员不再控制会议）。</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（4）系统有区别调度呼叫与普通呼叫振铃的功能。应具有多种不同的振铃方式,能区分内部呼叫, 外部呼叫及紧急呼叫的振铃方式。</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（5）调度与会议过程中对挂机用户可以自动再振铃。</w:t>
      </w:r>
    </w:p>
    <w:p>
      <w:pPr>
        <w:pStyle w:val="17"/>
        <w:adjustRightInd w:val="0"/>
        <w:snapToGrid w:val="0"/>
        <w:spacing w:beforeLines="50" w:afterLines="50" w:line="360" w:lineRule="auto"/>
        <w:ind w:firstLine="482" w:firstLineChars="200"/>
        <w:rPr>
          <w:rFonts w:ascii="宋体" w:hAnsi="宋体" w:cs="宋体"/>
          <w:b/>
          <w:sz w:val="24"/>
          <w:szCs w:val="24"/>
        </w:rPr>
      </w:pPr>
      <w:bookmarkStart w:id="54" w:name="_Toc285490161"/>
      <w:r>
        <w:rPr>
          <w:rFonts w:hint="eastAsia" w:ascii="宋体" w:hAnsi="宋体" w:cs="宋体"/>
          <w:b/>
          <w:sz w:val="24"/>
          <w:szCs w:val="24"/>
        </w:rPr>
        <w:t>4、交换功能</w:t>
      </w:r>
      <w:bookmarkEnd w:id="54"/>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（1）分机用户可以通过拨号进行用户间的呼叫。</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（2）调度台和有权拨外线的用户具有直接拨外线功能。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（3）分机用户可以通过调度转接至公用网或电力专网的用户。</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（4）外线用户呼入可通过调度台转接至任一分机用户或外线直接呼叫调度机中的任一分机用户。</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（5）具有夜服功能。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（6）对脉冲话机拨号和双音频话机拨号均能兼容。同一号线应能允许脉冲话机与双音频话机并机使用。</w:t>
      </w:r>
    </w:p>
    <w:p>
      <w:pPr>
        <w:pStyle w:val="17"/>
        <w:adjustRightInd w:val="0"/>
        <w:snapToGrid w:val="0"/>
        <w:spacing w:beforeLines="50" w:afterLines="50" w:line="360" w:lineRule="auto"/>
        <w:ind w:firstLine="482" w:firstLineChars="200"/>
        <w:rPr>
          <w:rFonts w:ascii="宋体" w:hAnsi="宋体" w:cs="宋体"/>
          <w:b/>
          <w:sz w:val="24"/>
          <w:szCs w:val="24"/>
        </w:rPr>
      </w:pPr>
      <w:bookmarkStart w:id="55" w:name="_Toc285490162"/>
      <w:r>
        <w:rPr>
          <w:rFonts w:hint="eastAsia" w:ascii="宋体" w:hAnsi="宋体" w:cs="宋体"/>
          <w:b/>
          <w:sz w:val="24"/>
          <w:szCs w:val="24"/>
        </w:rPr>
        <w:t>5、硬件要求</w:t>
      </w:r>
      <w:bookmarkEnd w:id="55"/>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硬件系统应采用模块式的硬件结构，便于扩充，并能容纳新业务和新技术。提供的设备，应全部采用经过老化测试和严格筛选的优质元器件，组装过程应有严格的质量控制，确保长期使用的高稳定性和高可靠性。</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（2）系统构成应具有冗余和容错等安全措施。主处理机、交换网络、二次电源及信号音板均应冗余配置，热备份结构。</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（3）用户电路应具有BORSCHT功能。用户电路、交换网络、中继电路、处理机等应满足中华人民共和国通信行业关于电话交换设备总技术规范书的有关要求。</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（4）交换机的插接件必须接触可靠，结构坚固，易于插/拔。插接件应有定位和锁定装置。</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（5）交换机的印刷电路板均应防腐蚀。印刷电路板均不允许有飞线。同一品种的电路板应具有完全的互换性。</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（6）不同品种的电路板应有错插保护功能，否则，必须有可靠的措施使其不能插错位置。</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（7）当交换机加电运行时，插入或拔出机盘应不引起任何元件的损坏和缩短使用寿命。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（8）电路板应有状态显示装置，显示电路板的使用及运行状况。用户板及中继板每一个电路还应有空闲、占用或置忙的显示。</w:t>
      </w:r>
    </w:p>
    <w:p>
      <w:pPr>
        <w:pStyle w:val="17"/>
        <w:adjustRightInd w:val="0"/>
        <w:snapToGrid w:val="0"/>
        <w:spacing w:beforeLines="50" w:afterLines="50" w:line="360" w:lineRule="auto"/>
        <w:ind w:firstLine="482" w:firstLineChars="200"/>
        <w:rPr>
          <w:rFonts w:ascii="宋体" w:hAnsi="宋体" w:cs="宋体"/>
          <w:b/>
          <w:sz w:val="24"/>
          <w:szCs w:val="24"/>
        </w:rPr>
      </w:pPr>
      <w:bookmarkStart w:id="56" w:name="_Toc285490163"/>
      <w:r>
        <w:rPr>
          <w:rFonts w:hint="eastAsia" w:ascii="宋体" w:hAnsi="宋体" w:cs="宋体"/>
          <w:b/>
          <w:sz w:val="24"/>
          <w:szCs w:val="24"/>
        </w:rPr>
        <w:t>6、软件要求</w:t>
      </w:r>
      <w:bookmarkEnd w:id="56"/>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系统软件及软件的修改和修补方法应符合中华人民共和国通信行业关于电话交换设备总技术规范书的有关要求和电力行业关于电力系统通信自动交换网技术规范的有关规定。</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交换机的软件应采用分层的模块化结构。任何一层的任何一个模块的维护和更新以及新模块的增加都不影响其他模块的功能。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软件应有容错能力和防护性能。</w:t>
      </w:r>
    </w:p>
    <w:p>
      <w:pPr>
        <w:pStyle w:val="17"/>
        <w:adjustRightInd w:val="0"/>
        <w:snapToGrid w:val="0"/>
        <w:spacing w:beforeLines="50" w:afterLines="50" w:line="360" w:lineRule="auto"/>
        <w:ind w:firstLine="482" w:firstLineChars="200"/>
        <w:rPr>
          <w:rFonts w:ascii="宋体" w:hAnsi="宋体" w:cs="宋体"/>
          <w:b/>
          <w:sz w:val="24"/>
          <w:szCs w:val="24"/>
        </w:rPr>
      </w:pPr>
      <w:bookmarkStart w:id="57" w:name="_Toc285490164"/>
      <w:r>
        <w:rPr>
          <w:rFonts w:hint="eastAsia" w:ascii="宋体" w:hAnsi="宋体" w:cs="宋体"/>
          <w:b/>
          <w:sz w:val="24"/>
          <w:szCs w:val="24"/>
        </w:rPr>
        <w:t>7、机械结构与工艺要求</w:t>
      </w:r>
      <w:bookmarkEnd w:id="57"/>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（1）交换机的机架和安装件的结构，应能经受里氏震级基本烈度为8度，设备按8度设防。</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表面涂敷处理。设备的表面涂敷应满足防腐要求。所有喷漆（塑）零件的表面应光滑平整、色泽一致，不允许有划痕、斑疵、流挂、脱落和破损。电镀零件的表面应有金属光泽，不允许有裂纹、斑点、毛刺和缺陷。</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（3）机架（盘）的外观应色彩协调，色调柔和，色泽一致。</w:t>
      </w:r>
    </w:p>
    <w:p>
      <w:pPr>
        <w:pStyle w:val="17"/>
        <w:adjustRightInd w:val="0"/>
        <w:snapToGrid w:val="0"/>
        <w:spacing w:beforeLines="50" w:afterLines="50" w:line="360" w:lineRule="auto"/>
        <w:ind w:firstLine="482" w:firstLineChars="200"/>
        <w:rPr>
          <w:rFonts w:ascii="宋体" w:hAnsi="宋体" w:cs="宋体"/>
          <w:b/>
          <w:sz w:val="24"/>
          <w:szCs w:val="24"/>
        </w:rPr>
      </w:pPr>
      <w:bookmarkStart w:id="58" w:name="_Toc285490165"/>
      <w:r>
        <w:rPr>
          <w:rFonts w:hint="eastAsia" w:ascii="宋体" w:hAnsi="宋体" w:cs="宋体"/>
          <w:b/>
          <w:sz w:val="24"/>
          <w:szCs w:val="24"/>
        </w:rPr>
        <w:t>8、其它</w:t>
      </w:r>
      <w:bookmarkEnd w:id="58"/>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（1）可对每个用户进行等级设置，如调度等级、呼出等级等。</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（2）对中继局向分组设置，可以是一条中继一个局向，也可以是多条中继一个局向。可以设置多个中继局接至公用网或电力专网。</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（3）用户等级设置和中继局向设置等均需输入正确密码才能操作，密码可以自行修改。</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（4）当一个调度台有两部以上调度话机时，各话机能分组调度，该调度台上的按键操作权归属哪部调度话机应能自动跟踪。</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（5）当设备加电运行时，插入或拔出机盘应不引起任何元件的损坏和缩短使用寿命。</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（6）提供的设备对过压、过流保护的能力应符合原邮电部相关标准规定。</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（7）设备的电磁兼容性及抗电磁干扰应满足IEC-801-2，IEC-801-3和IEC-802-4的要求，供方应提供设备的具体电磁兼容指标、测试方法及测试数据。</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（8）机房的工作地、保护地、建筑防雷接地采用联合接地。供方应提供所供设备接地的要求及接地方式。</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（9）供方应说明其设备的散热方式，设备的冷却优选自然通风散热方式。</w:t>
      </w:r>
    </w:p>
    <w:p>
      <w:pPr>
        <w:pStyle w:val="17"/>
        <w:adjustRightInd w:val="0"/>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（10）供方应提供的设备之间连接的安装件、电缆以及主机柜与配线架之间的电缆。</w:t>
      </w:r>
    </w:p>
    <w:p>
      <w:pPr>
        <w:pStyle w:val="15"/>
        <w:ind w:firstLine="482"/>
      </w:pPr>
      <w:r>
        <w:rPr>
          <w:rFonts w:hint="eastAsia"/>
        </w:rPr>
        <w:t>四、设备配置清单</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tblPr>
        <w:tblStyle w:val="7"/>
        <w:tblW w:w="9077" w:type="dxa"/>
        <w:tblInd w:w="103" w:type="dxa"/>
        <w:tblLayout w:type="autofit"/>
        <w:tblCellMar>
          <w:top w:w="0" w:type="dxa"/>
          <w:left w:w="108" w:type="dxa"/>
          <w:bottom w:w="0" w:type="dxa"/>
          <w:right w:w="108" w:type="dxa"/>
        </w:tblCellMar>
      </w:tblPr>
      <w:tblGrid>
        <w:gridCol w:w="479"/>
        <w:gridCol w:w="1936"/>
        <w:gridCol w:w="2693"/>
        <w:gridCol w:w="709"/>
        <w:gridCol w:w="908"/>
        <w:gridCol w:w="2352"/>
      </w:tblGrid>
      <w:tr>
        <w:tblPrEx>
          <w:tblCellMar>
            <w:top w:w="0" w:type="dxa"/>
            <w:left w:w="108" w:type="dxa"/>
            <w:bottom w:w="0" w:type="dxa"/>
            <w:right w:w="108" w:type="dxa"/>
          </w:tblCellMar>
        </w:tblPrEx>
        <w:trPr>
          <w:trHeight w:val="540" w:hRule="atLeast"/>
        </w:trPr>
        <w:tc>
          <w:tcPr>
            <w:tcW w:w="907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b/>
                <w:bCs/>
                <w:color w:val="000000" w:themeColor="text1"/>
                <w:sz w:val="22"/>
                <w14:textFill>
                  <w14:solidFill>
                    <w14:schemeClr w14:val="tx1"/>
                  </w14:solidFill>
                </w14:textFill>
              </w:rPr>
            </w:pPr>
            <w:bookmarkStart w:id="59" w:name="_GoBack"/>
            <w:r>
              <w:rPr>
                <w:rFonts w:hint="eastAsia"/>
                <w:b/>
                <w:bCs/>
                <w:color w:val="000000" w:themeColor="text1"/>
                <w:sz w:val="22"/>
                <w14:textFill>
                  <w14:solidFill>
                    <w14:schemeClr w14:val="tx1"/>
                  </w14:solidFill>
                </w14:textFill>
              </w:rPr>
              <w:t>项目名称：矿用本安数字程控调度机(融合调度)   支持1000门  本次配置320门</w:t>
            </w:r>
          </w:p>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序号</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设备名称</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规格型号</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单位</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数量</w:t>
            </w:r>
          </w:p>
        </w:tc>
        <w:tc>
          <w:tcPr>
            <w:tcW w:w="2352"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备注</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主控板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000000" w:fill="FFFFFF"/>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主控处理单元，提供32E1/1024用户处理能力，支持热备份</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二次电源板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000000" w:fill="FFFFFF"/>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3</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48V直流电源模块，多路直流输出，支持双配置热备份</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3</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普通型母板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提供所有功能板标准接口，各槽位通用</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4</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IPS型母板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提供IP分机功能板标准接口，各槽位通用</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5</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机框</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只</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3</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内框标准6U</w:t>
            </w:r>
          </w:p>
        </w:tc>
      </w:tr>
      <w:tr>
        <w:tblPrEx>
          <w:tblCellMar>
            <w:top w:w="0" w:type="dxa"/>
            <w:left w:w="108" w:type="dxa"/>
            <w:bottom w:w="0" w:type="dxa"/>
            <w:right w:w="108" w:type="dxa"/>
          </w:tblCellMar>
        </w:tblPrEx>
        <w:trPr>
          <w:trHeight w:val="81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6</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环路用户板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模拟用户接口板，每板提供16FXS接口，与数字、环路中继板、DSP资源板共享16个槽位，电话线传输距离10KM</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7</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环路中继板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模拟环路中继板，每板提供16FXO接口</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8</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数字中继板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数字中继板，每板提供1个E1/T1</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9</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录音板</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系统内置全网录音，存储10万小时提供通过Web浏览调取接口</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10</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触摸屏调度台</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台</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嵌入电脑，双话机，支持调度所有功能</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11</w:t>
            </w:r>
          </w:p>
        </w:tc>
        <w:tc>
          <w:tcPr>
            <w:tcW w:w="1936" w:type="dxa"/>
            <w:tcBorders>
              <w:top w:val="nil"/>
              <w:left w:val="nil"/>
              <w:bottom w:val="nil"/>
              <w:right w:val="nil"/>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数字调度终端软件</w:t>
            </w:r>
          </w:p>
        </w:tc>
        <w:tc>
          <w:tcPr>
            <w:tcW w:w="2693" w:type="dxa"/>
            <w:tcBorders>
              <w:top w:val="nil"/>
              <w:left w:val="nil"/>
              <w:bottom w:val="nil"/>
              <w:right w:val="nil"/>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调度软件含加密控件</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12</w:t>
            </w:r>
          </w:p>
        </w:tc>
        <w:tc>
          <w:tcPr>
            <w:tcW w:w="19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多媒体融合通信调度系统软件</w:t>
            </w:r>
          </w:p>
        </w:tc>
        <w:tc>
          <w:tcPr>
            <w:tcW w:w="26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支持视频联动、广播、录音，无线</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13</w:t>
            </w:r>
          </w:p>
        </w:tc>
        <w:tc>
          <w:tcPr>
            <w:tcW w:w="1936"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一次电源箱</w:t>
            </w:r>
          </w:p>
        </w:tc>
        <w:tc>
          <w:tcPr>
            <w:tcW w:w="2693"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台</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热备份</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14</w:t>
            </w:r>
          </w:p>
        </w:tc>
        <w:tc>
          <w:tcPr>
            <w:tcW w:w="1936"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用户电缆线</w:t>
            </w:r>
          </w:p>
        </w:tc>
        <w:tc>
          <w:tcPr>
            <w:tcW w:w="2693"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16对/4米</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条</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21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32芯4米用户连接线</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15</w:t>
            </w:r>
          </w:p>
        </w:tc>
        <w:tc>
          <w:tcPr>
            <w:tcW w:w="1936"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耦合器</w:t>
            </w:r>
          </w:p>
        </w:tc>
        <w:tc>
          <w:tcPr>
            <w:tcW w:w="2693"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台</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8</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16</w:t>
            </w:r>
          </w:p>
        </w:tc>
        <w:tc>
          <w:tcPr>
            <w:tcW w:w="1936"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机柜</w:t>
            </w:r>
          </w:p>
        </w:tc>
        <w:tc>
          <w:tcPr>
            <w:tcW w:w="2693"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个</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600*600*2000（有导线槽）</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17</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数据融合模块</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与瓦斯联动，人员系统联动</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18</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卡接式电话配线架</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套</w:t>
            </w:r>
          </w:p>
        </w:tc>
        <w:tc>
          <w:tcPr>
            <w:tcW w:w="908"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3</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19</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防雷保安排</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套</w:t>
            </w:r>
          </w:p>
        </w:tc>
        <w:tc>
          <w:tcPr>
            <w:tcW w:w="908" w:type="dxa"/>
            <w:tcBorders>
              <w:top w:val="nil"/>
              <w:left w:val="nil"/>
              <w:bottom w:val="single" w:color="auto" w:sz="4" w:space="0"/>
              <w:right w:val="single" w:color="auto" w:sz="4" w:space="0"/>
            </w:tcBorders>
            <w:shd w:val="clear" w:color="000000" w:fill="FFFFFF"/>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3</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20</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矿用本质安全型电话机</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台</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81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21</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煤矿用聚乙烯绝缘铝-聚乙烯粘结护层聚氯乙烯护套通信电缆</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MHYAV 50*2(1/0.8mm)</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米</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500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100对-竖井</w:t>
            </w:r>
          </w:p>
        </w:tc>
      </w:tr>
      <w:tr>
        <w:tblPrEx>
          <w:tblCellMar>
            <w:top w:w="0" w:type="dxa"/>
            <w:left w:w="108" w:type="dxa"/>
            <w:bottom w:w="0" w:type="dxa"/>
            <w:right w:w="108" w:type="dxa"/>
          </w:tblCellMar>
        </w:tblPrEx>
        <w:trPr>
          <w:trHeight w:val="81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22</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 xml:space="preserve">煤矿用聚乙烯绝缘铝-聚乙烯粘结护层聚氯乙烯护套通信电缆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MHYAV 20*2(1/0.8mm)</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米</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4000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30对-井下</w:t>
            </w:r>
          </w:p>
        </w:tc>
      </w:tr>
      <w:tr>
        <w:tblPrEx>
          <w:tblCellMar>
            <w:top w:w="0" w:type="dxa"/>
            <w:left w:w="108" w:type="dxa"/>
            <w:bottom w:w="0" w:type="dxa"/>
            <w:right w:w="108" w:type="dxa"/>
          </w:tblCellMar>
        </w:tblPrEx>
        <w:trPr>
          <w:trHeight w:val="54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23</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煤矿用聚乙烯绝缘聚氯乙烯护套通信电缆</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MHYV 2*2(1/0.37mm)</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米</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3000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2对-井下</w:t>
            </w:r>
          </w:p>
        </w:tc>
      </w:tr>
      <w:tr>
        <w:tblPrEx>
          <w:tblCellMar>
            <w:top w:w="0" w:type="dxa"/>
            <w:left w:w="108" w:type="dxa"/>
            <w:bottom w:w="0" w:type="dxa"/>
            <w:right w:w="108" w:type="dxa"/>
          </w:tblCellMar>
        </w:tblPrEx>
        <w:trPr>
          <w:trHeight w:val="405"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24</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塑料绝缘市内通信电缆</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HYA 20*2*0.5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米</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2000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20对-地面</w:t>
            </w:r>
          </w:p>
        </w:tc>
      </w:tr>
      <w:tr>
        <w:tblPrEx>
          <w:tblCellMar>
            <w:top w:w="0" w:type="dxa"/>
            <w:left w:w="108" w:type="dxa"/>
            <w:bottom w:w="0" w:type="dxa"/>
            <w:right w:w="108" w:type="dxa"/>
          </w:tblCellMar>
        </w:tblPrEx>
        <w:trPr>
          <w:trHeight w:val="405"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25</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塑料绝缘市内通信电缆</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HYA 2*2*0.5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米</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2000</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2对-地面</w:t>
            </w:r>
          </w:p>
        </w:tc>
      </w:tr>
      <w:tr>
        <w:tblPrEx>
          <w:tblCellMar>
            <w:top w:w="0" w:type="dxa"/>
            <w:left w:w="108" w:type="dxa"/>
            <w:bottom w:w="0" w:type="dxa"/>
            <w:right w:w="108" w:type="dxa"/>
          </w:tblCellMar>
        </w:tblPrEx>
        <w:trPr>
          <w:trHeight w:val="570" w:hRule="atLeast"/>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26</w:t>
            </w:r>
          </w:p>
        </w:tc>
        <w:tc>
          <w:tcPr>
            <w:tcW w:w="193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辅材费</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卡接式接线钳、查号器、卡接式测试绳、6P4C压线钳、扎带等工具</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项</w:t>
            </w:r>
          </w:p>
        </w:tc>
        <w:tc>
          <w:tcPr>
            <w:tcW w:w="90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1</w:t>
            </w:r>
          </w:p>
        </w:tc>
        <w:tc>
          <w:tcPr>
            <w:tcW w:w="235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32" w:hRule="atLeast"/>
        </w:trPr>
        <w:tc>
          <w:tcPr>
            <w:tcW w:w="9077" w:type="dxa"/>
            <w:gridSpan w:val="6"/>
            <w:tcBorders>
              <w:top w:val="nil"/>
              <w:left w:val="single" w:color="auto" w:sz="4" w:space="0"/>
              <w:bottom w:val="single" w:color="auto" w:sz="4" w:space="0"/>
              <w:right w:val="single" w:color="auto" w:sz="4" w:space="0"/>
            </w:tcBorders>
            <w:shd w:val="clear" w:color="auto" w:fill="auto"/>
            <w:vAlign w:val="center"/>
          </w:tcPr>
          <w:p>
            <w:pPr>
              <w:jc w:val="left"/>
              <w:rPr>
                <w:rFonts w:ascii="宋体" w:hAnsi="宋体" w:cs="宋体"/>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配置：320模拟分机，16模拟外线，2数字中继，22寸触摸屏调度台含多媒体调度软件，128路安全耦合器，全系统所有分机录音模块，广播融合，瓦斯监控融合</w:t>
            </w:r>
          </w:p>
          <w:p>
            <w:pPr>
              <w:jc w:val="left"/>
              <w:rPr>
                <w:b/>
                <w:bCs/>
                <w:color w:val="000000" w:themeColor="text1"/>
                <w:sz w:val="22"/>
                <w14:textFill>
                  <w14:solidFill>
                    <w14:schemeClr w14:val="tx1"/>
                  </w14:solidFill>
                </w14:textFill>
              </w:rPr>
            </w:pPr>
          </w:p>
        </w:tc>
      </w:tr>
      <w:tr>
        <w:tblPrEx>
          <w:tblCellMar>
            <w:top w:w="0" w:type="dxa"/>
            <w:left w:w="108" w:type="dxa"/>
            <w:bottom w:w="0" w:type="dxa"/>
            <w:right w:w="108" w:type="dxa"/>
          </w:tblCellMar>
        </w:tblPrEx>
        <w:trPr>
          <w:trHeight w:val="570" w:hRule="atLeast"/>
        </w:trPr>
        <w:tc>
          <w:tcPr>
            <w:tcW w:w="9077" w:type="dxa"/>
            <w:gridSpan w:val="6"/>
            <w:tcBorders>
              <w:top w:val="nil"/>
              <w:left w:val="single" w:color="auto" w:sz="4" w:space="0"/>
              <w:bottom w:val="single" w:color="auto" w:sz="4" w:space="0"/>
              <w:right w:val="single" w:color="auto" w:sz="4" w:space="0"/>
            </w:tcBorders>
            <w:shd w:val="clear" w:color="auto" w:fill="auto"/>
            <w:vAlign w:val="center"/>
          </w:tcPr>
          <w:p>
            <w:pPr>
              <w:jc w:val="left"/>
              <w:rPr>
                <w:rFonts w:ascii="宋体" w:hAnsi="宋体" w:cs="宋体"/>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安装调试（</w:t>
            </w:r>
            <w:r>
              <w:rPr>
                <w:rFonts w:hint="eastAsia"/>
                <w:color w:val="000000" w:themeColor="text1"/>
                <w:lang w:val="en-US" w:eastAsia="zh-CN"/>
                <w14:textFill>
                  <w14:solidFill>
                    <w14:schemeClr w14:val="tx1"/>
                  </w14:solidFill>
                </w14:textFill>
              </w:rPr>
              <w:t>现场指导安装</w:t>
            </w:r>
            <w:r>
              <w:rPr>
                <w:rFonts w:hint="eastAsia"/>
                <w:b/>
                <w:bCs/>
                <w:color w:val="000000" w:themeColor="text1"/>
                <w:sz w:val="22"/>
                <w14:textFill>
                  <w14:solidFill>
                    <w14:schemeClr w14:val="tx1"/>
                  </w14:solidFill>
                </w14:textFill>
              </w:rPr>
              <w:t>）</w:t>
            </w:r>
          </w:p>
          <w:p>
            <w:pPr>
              <w:widowControl/>
              <w:jc w:val="left"/>
              <w:rPr>
                <w:rFonts w:cs="宋体" w:asciiTheme="minorEastAsia" w:hAnsiTheme="minorEastAsia" w:eastAsiaTheme="minorEastAsia"/>
                <w:color w:val="000000" w:themeColor="text1"/>
                <w:kern w:val="0"/>
                <w:sz w:val="18"/>
                <w:szCs w:val="18"/>
                <w14:textFill>
                  <w14:solidFill>
                    <w14:schemeClr w14:val="tx1"/>
                  </w14:solidFill>
                </w14:textFill>
              </w:rPr>
            </w:pPr>
          </w:p>
        </w:tc>
      </w:tr>
      <w:bookmarkEnd w:id="59"/>
    </w:tbl>
    <w:p>
      <w:pPr>
        <w:widowControl/>
        <w:ind w:left="424" w:leftChars="202"/>
        <w:jc w:val="left"/>
      </w:pPr>
    </w:p>
    <w:p>
      <w:pPr>
        <w:widowControl/>
        <w:ind w:left="424" w:leftChars="202"/>
        <w:jc w:val="left"/>
      </w:pPr>
    </w:p>
    <w:p>
      <w:pPr>
        <w:pStyle w:val="15"/>
        <w:ind w:firstLine="482"/>
      </w:pPr>
      <w:r>
        <w:rPr>
          <w:rFonts w:hint="eastAsia"/>
        </w:rPr>
        <w:t>五、技术资料</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5.1 供方提供的电子文件、说明书等资料必须详实，确保能够有力指导现场施工及日常维护工作。</w:t>
      </w:r>
    </w:p>
    <w:p>
      <w:pPr>
        <w:spacing w:line="360" w:lineRule="auto"/>
        <w:ind w:firstLine="460" w:firstLineChars="192"/>
        <w:rPr>
          <w:rFonts w:asciiTheme="minorEastAsia" w:hAnsiTheme="minorEastAsia" w:eastAsiaTheme="minorEastAsia"/>
          <w:sz w:val="24"/>
          <w:szCs w:val="21"/>
        </w:rPr>
      </w:pPr>
      <w:r>
        <w:rPr>
          <w:rFonts w:hint="eastAsia" w:asciiTheme="minorEastAsia" w:hAnsiTheme="minorEastAsia" w:eastAsiaTheme="minorEastAsia"/>
          <w:sz w:val="24"/>
          <w:szCs w:val="21"/>
        </w:rPr>
        <w:t>5.2 供方提供纸质版系统技术文件不少于5套，并提供1套电子版说明书。</w:t>
      </w:r>
    </w:p>
    <w:p>
      <w:pPr>
        <w:spacing w:line="360" w:lineRule="auto"/>
        <w:ind w:firstLine="403" w:firstLineChars="192"/>
      </w:pPr>
    </w:p>
    <w:p>
      <w:pPr>
        <w:pStyle w:val="15"/>
        <w:ind w:firstLine="482"/>
      </w:pPr>
      <w:r>
        <w:rPr>
          <w:rFonts w:hint="eastAsia"/>
        </w:rPr>
        <w:t>六、技术服务</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服务机构及要求：厂家在当地必须设有办事处或服务站，并提供7*24小时免费服务电话；</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服务响应：厂家在接到用户服务请求时，应在2小时内给予用户答复。如遇到系统通讯中断等重大问题时或经厂家指导后用户不能排除故障时，厂家需及时（</w:t>
      </w:r>
      <w:r>
        <w:rPr>
          <w:rFonts w:asciiTheme="minorEastAsia" w:hAnsiTheme="minorEastAsia" w:eastAsiaTheme="minorEastAsia"/>
        </w:rPr>
        <w:t>4</w:t>
      </w:r>
      <w:r>
        <w:rPr>
          <w:rFonts w:hint="eastAsia" w:asciiTheme="minorEastAsia" w:hAnsiTheme="minorEastAsia" w:eastAsiaTheme="minorEastAsia"/>
        </w:rPr>
        <w:t>小时内）派人到现场进行指导；</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系统更新升级：应用软件在保证期内如有升级版本，厂家应提供免费为用户更新。软件运行维护期的服务不收取额外费用；</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质量保证期内，厂家应免费对系统进行现场升级，完成系统升级后，向用户提交升级后新版本介质及升级技术文档；</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后期技术培训：系统安装完毕后，厂家应根据系统运行和日常维护工作情况，结合用户对今后系统发展规划和需求，有针对性的提供现场培训或邀请相关人员到公司培训，提高用户系统维护人员的技术水平和业务人员的业务素质；</w:t>
      </w:r>
    </w:p>
    <w:p>
      <w:pPr>
        <w:pStyle w:val="16"/>
        <w:shd w:val="clear" w:color="auto" w:fill="FFFFFF"/>
        <w:spacing w:before="0" w:beforeAutospacing="0" w:after="0" w:afterAutospacing="0" w:line="360" w:lineRule="auto"/>
        <w:ind w:firstLine="480" w:firstLineChars="200"/>
        <w:rPr>
          <w:rFonts w:asciiTheme="minorEastAsia" w:hAnsiTheme="minorEastAsia" w:eastAsiaTheme="minorEastAsia"/>
        </w:rPr>
      </w:pPr>
      <w:r>
        <w:rPr>
          <w:rFonts w:hint="eastAsia" w:asciiTheme="minorEastAsia" w:hAnsiTheme="minorEastAsia" w:eastAsiaTheme="minorEastAsia"/>
        </w:rPr>
        <w:t>系统咨询服务：根据系统运行实际状况，结合用户对今后系统发展规划和需求，厂家应长期提供有关系统安装、调试、使用、维护、升级、等方面的免费咨询服务。</w:t>
      </w:r>
    </w:p>
    <w:p>
      <w:pPr>
        <w:spacing w:line="360" w:lineRule="auto"/>
        <w:ind w:firstLine="403" w:firstLineChars="192"/>
      </w:pPr>
    </w:p>
    <w:p>
      <w:pPr>
        <w:spacing w:line="360" w:lineRule="auto"/>
        <w:ind w:firstLine="403" w:firstLineChars="192"/>
      </w:pPr>
    </w:p>
    <w:p>
      <w:pPr>
        <w:pStyle w:val="15"/>
        <w:ind w:firstLine="482"/>
      </w:pPr>
      <w:r>
        <w:rPr>
          <w:rFonts w:hint="eastAsia"/>
        </w:rPr>
        <w:t>七、售后服务</w:t>
      </w:r>
    </w:p>
    <w:p>
      <w:pPr>
        <w:pStyle w:val="16"/>
        <w:numPr>
          <w:ilvl w:val="0"/>
          <w:numId w:val="3"/>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szCs w:val="21"/>
        </w:rPr>
      </w:pPr>
      <w:r>
        <w:rPr>
          <w:rFonts w:hint="eastAsia" w:asciiTheme="minorEastAsia" w:hAnsiTheme="minorEastAsia" w:eastAsiaTheme="minorEastAsia"/>
          <w:szCs w:val="21"/>
        </w:rPr>
        <w:t>服务方式</w:t>
      </w:r>
    </w:p>
    <w:p>
      <w:pPr>
        <w:pStyle w:val="16"/>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Cs w:val="21"/>
        </w:rPr>
        <w:t>供方应提供包括但不限于热线支持、巡检、软硬件维护、升级服务、备品备件等售后服务方式。</w:t>
      </w:r>
    </w:p>
    <w:p>
      <w:pPr>
        <w:pStyle w:val="16"/>
        <w:numPr>
          <w:ilvl w:val="0"/>
          <w:numId w:val="3"/>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szCs w:val="21"/>
        </w:rPr>
      </w:pPr>
      <w:r>
        <w:rPr>
          <w:rFonts w:hint="eastAsia" w:asciiTheme="minorEastAsia" w:hAnsiTheme="minorEastAsia" w:eastAsiaTheme="minorEastAsia"/>
          <w:szCs w:val="21"/>
        </w:rPr>
        <w:t>系统安装、投运时的技术服务</w:t>
      </w:r>
    </w:p>
    <w:p>
      <w:pPr>
        <w:pStyle w:val="16"/>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Cs w:val="21"/>
        </w:rPr>
        <w:t>供方应负责所供系统的现场施工安装，全面负责系统的检查、功能检测、调试直至投入运行。所派现场服务人员一定是懂技术和熟悉设备性能的技术人员，能够在现场有效地工作，并及时处理所供装置出现的任何问题（交钥匙）。</w:t>
      </w:r>
    </w:p>
    <w:p>
      <w:pPr>
        <w:pStyle w:val="16"/>
        <w:numPr>
          <w:ilvl w:val="0"/>
          <w:numId w:val="3"/>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szCs w:val="21"/>
        </w:rPr>
      </w:pPr>
      <w:r>
        <w:rPr>
          <w:rFonts w:hint="eastAsia" w:asciiTheme="minorEastAsia" w:hAnsiTheme="minorEastAsia" w:eastAsiaTheme="minorEastAsia"/>
          <w:szCs w:val="21"/>
        </w:rPr>
        <w:t>保修期内的技术服务</w:t>
      </w:r>
    </w:p>
    <w:p>
      <w:pPr>
        <w:pStyle w:val="16"/>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Cs w:val="21"/>
        </w:rPr>
        <w:t>投标方应免费保修1年（自系统验收合格之日起），免费硬件维护保养，软件免费升级、终身维护；应提供24小时售后服务专线电话。</w:t>
      </w:r>
    </w:p>
    <w:p>
      <w:pPr>
        <w:pStyle w:val="16"/>
        <w:numPr>
          <w:ilvl w:val="0"/>
          <w:numId w:val="3"/>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szCs w:val="21"/>
        </w:rPr>
      </w:pPr>
      <w:r>
        <w:rPr>
          <w:rFonts w:hint="eastAsia" w:asciiTheme="minorEastAsia" w:hAnsiTheme="minorEastAsia" w:eastAsiaTheme="minorEastAsia"/>
          <w:szCs w:val="21"/>
        </w:rPr>
        <w:t>响应时间</w:t>
      </w:r>
    </w:p>
    <w:p>
      <w:pPr>
        <w:pStyle w:val="16"/>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Cs w:val="21"/>
        </w:rPr>
        <w:t>供方应提供7*24小时服务、30分钟响应、4h内到达现场、每3个月工程回访、季度定期巡检维护。</w:t>
      </w:r>
    </w:p>
    <w:p>
      <w:pPr>
        <w:pStyle w:val="16"/>
        <w:numPr>
          <w:ilvl w:val="0"/>
          <w:numId w:val="3"/>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szCs w:val="21"/>
        </w:rPr>
      </w:pPr>
      <w:r>
        <w:rPr>
          <w:rFonts w:hint="eastAsia" w:asciiTheme="minorEastAsia" w:hAnsiTheme="minorEastAsia" w:eastAsiaTheme="minorEastAsia"/>
          <w:szCs w:val="21"/>
        </w:rPr>
        <w:t>培训</w:t>
      </w:r>
    </w:p>
    <w:p>
      <w:pPr>
        <w:pStyle w:val="16"/>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Cs w:val="21"/>
        </w:rPr>
        <w:t>系统建设完成后，供方应采用现场培训方式对系统操作人员及招标方技术人员进行培训，供方应提供招标方的培训人员学习的技术文件、培训文档等。技术文件包括但不限于系统建设方案、图纸等，培训文档包括但不限于软件使用手册、硬件使用说明书等。</w:t>
      </w:r>
    </w:p>
    <w:p>
      <w:pPr>
        <w:adjustRightInd w:val="0"/>
        <w:snapToGrid w:val="0"/>
        <w:spacing w:line="360" w:lineRule="auto"/>
        <w:ind w:firstLine="944" w:firstLineChars="392"/>
        <w:rPr>
          <w:rFonts w:ascii="宋体" w:hAnsi="宋体"/>
          <w:b/>
          <w:color w:val="FF0000"/>
          <w:sz w:val="24"/>
          <w:szCs w:val="24"/>
        </w:rPr>
      </w:pPr>
    </w:p>
    <w:p>
      <w:pPr>
        <w:rPr>
          <w:sz w:val="28"/>
          <w:szCs w:val="28"/>
        </w:rPr>
      </w:pPr>
      <w:r>
        <w:rPr>
          <w:rFonts w:hint="eastAsia"/>
          <w:sz w:val="28"/>
          <w:szCs w:val="28"/>
        </w:rPr>
        <w:t>6）本系统支持安全监控系统融合联动。</w:t>
      </w:r>
    </w:p>
    <w:sectPr>
      <w:headerReference r:id="rId4" w:type="first"/>
      <w:footerReference r:id="rId7" w:type="first"/>
      <w:footerReference r:id="rId5" w:type="default"/>
      <w:headerReference r:id="rId3" w:type="even"/>
      <w:footerReference r:id="rId6" w:type="even"/>
      <w:pgSz w:w="11906" w:h="16838"/>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10</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文本框 8" o:spid="_x0000_s4097" o:spt="202" type="#_x0000_t202" style="position:absolute;left:0pt;margin-top:0pt;height:10.35pt;width:22.4pt;mso-position-horizontal:center;mso-position-horizontal-relative:margin;mso-wrap-distance-bottom:0pt;mso-wrap-distance-left:0pt;mso-wrap-distance-right:0pt;mso-wrap-distance-top:0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">
          <v:path/>
          <v:fill on="f" focussize="0,0"/>
          <v:stroke on="f" joinstyle="miter"/>
          <v:imagedata o:title=""/>
          <o:lock v:ext="edit"/>
          <v:textbox inset="0mm,0mm,0mm,0mm">
            <w:txbxContent>
              <w:p>
                <w:pPr>
                  <w:pStyle w:val="5"/>
                  <w:ind w:firstLine="360"/>
                  <w:rPr>
                    <w:rStyle w:val="9"/>
                  </w:rPr>
                </w:pPr>
                <w:r>
                  <w:fldChar w:fldCharType="begin"/>
                </w:r>
                <w:r>
                  <w:rPr>
                    <w:rStyle w:val="9"/>
                  </w:rPr>
                  <w:instrText xml:space="preserve">PAGE  </w:instrText>
                </w:r>
                <w:r>
                  <w:fldChar w:fldCharType="separate"/>
                </w:r>
                <w:r>
                  <w:rPr>
                    <w:rStyle w:val="9"/>
                  </w:rPr>
                  <w:t>186</w:t>
                </w:r>
                <w:r>
                  <w:fldChar w:fldCharType="end"/>
                </w:r>
              </w:p>
            </w:txbxContent>
          </v:textbox>
          <w10:wrap type="squar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pict>
        <v:shape id="文本框 9" o:spid="_x0000_s4098" o:spt="202" type="#_x0000_t202" style="position:absolute;left:0pt;margin-top:0pt;height:12.1pt;width:23.25pt;mso-position-horizontal:right;mso-position-horizontal-relative:margin;mso-wrap-distance-bottom:0pt;mso-wrap-distance-left:0pt;mso-wrap-distance-right:0pt;mso-wrap-distance-top:0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">
          <v:path/>
          <v:fill on="f" focussize="0,0"/>
          <v:stroke on="f" joinstyle="miter"/>
          <v:imagedata o:title=""/>
          <o:lock v:ext="edit"/>
          <v:textbox inset="0mm,0mm,0mm,0mm">
            <w:txbxContent>
              <w:p>
                <w:pPr>
                  <w:pStyle w:val="6"/>
                  <w:ind w:firstLine="360"/>
                  <w:rPr>
                    <w:rStyle w:val="9"/>
                  </w:rPr>
                </w:pPr>
                <w:r>
                  <w:fldChar w:fldCharType="begin"/>
                </w:r>
                <w:r>
                  <w:rPr>
                    <w:rStyle w:val="9"/>
                  </w:rPr>
                  <w:instrText xml:space="preserve">PAGE  </w:instrText>
                </w:r>
                <w:r>
                  <w:fldChar w:fldCharType="separate"/>
                </w:r>
                <w:r>
                  <w:rPr>
                    <w:rStyle w:val="9"/>
                  </w:rPr>
                  <w:t>186</w:t>
                </w:r>
                <w:r>
                  <w:fldChar w:fldCharType="end"/>
                </w:r>
              </w:p>
            </w:txbxContent>
          </v:textbox>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7274E"/>
    <w:multiLevelType w:val="multilevel"/>
    <w:tmpl w:val="2A87274E"/>
    <w:lvl w:ilvl="0" w:tentative="0">
      <w:start w:val="1"/>
      <w:numFmt w:val="bullet"/>
      <w:lvlText w:val=""/>
      <w:lvlJc w:val="left"/>
      <w:pPr>
        <w:tabs>
          <w:tab w:val="left" w:pos="630"/>
        </w:tabs>
        <w:ind w:left="63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B8A1638"/>
    <w:multiLevelType w:val="multilevel"/>
    <w:tmpl w:val="2B8A1638"/>
    <w:lvl w:ilvl="0" w:tentative="0">
      <w:start w:val="1"/>
      <w:numFmt w:val="bullet"/>
      <w:lvlText w:val=""/>
      <w:lvlJc w:val="left"/>
      <w:pPr>
        <w:tabs>
          <w:tab w:val="left" w:pos="630"/>
        </w:tabs>
        <w:ind w:left="630" w:hanging="420"/>
      </w:pPr>
      <w:rPr>
        <w:rFonts w:hint="default" w:ascii="Wingdings" w:hAnsi="Wingdings"/>
      </w:rPr>
    </w:lvl>
    <w:lvl w:ilvl="1" w:tentative="0">
      <w:start w:val="7"/>
      <w:numFmt w:val="bullet"/>
      <w:lvlText w:val="◆"/>
      <w:lvlJc w:val="left"/>
      <w:pPr>
        <w:tabs>
          <w:tab w:val="left" w:pos="631"/>
        </w:tabs>
        <w:ind w:left="631" w:hanging="360"/>
      </w:pPr>
      <w:rPr>
        <w:rFonts w:hint="eastAsia" w:ascii="楷体_GB2312" w:hAnsi="宋体" w:eastAsia="楷体_GB2312" w:cs="黑体"/>
        <w:color w:val="FF00FF"/>
      </w:rPr>
    </w:lvl>
    <w:lvl w:ilvl="2" w:tentative="0">
      <w:start w:val="1"/>
      <w:numFmt w:val="bullet"/>
      <w:lvlText w:val=""/>
      <w:lvlJc w:val="left"/>
      <w:pPr>
        <w:tabs>
          <w:tab w:val="left" w:pos="1111"/>
        </w:tabs>
        <w:ind w:left="1111" w:hanging="420"/>
      </w:pPr>
      <w:rPr>
        <w:rFonts w:hint="default" w:ascii="Wingdings" w:hAnsi="Wingdings"/>
      </w:rPr>
    </w:lvl>
    <w:lvl w:ilvl="3" w:tentative="0">
      <w:start w:val="1"/>
      <w:numFmt w:val="bullet"/>
      <w:lvlText w:val=""/>
      <w:lvlJc w:val="left"/>
      <w:pPr>
        <w:tabs>
          <w:tab w:val="left" w:pos="1531"/>
        </w:tabs>
        <w:ind w:left="1531" w:hanging="420"/>
      </w:pPr>
      <w:rPr>
        <w:rFonts w:hint="default" w:ascii="Wingdings" w:hAnsi="Wingdings"/>
      </w:rPr>
    </w:lvl>
    <w:lvl w:ilvl="4" w:tentative="0">
      <w:start w:val="1"/>
      <w:numFmt w:val="bullet"/>
      <w:lvlText w:val=""/>
      <w:lvlJc w:val="left"/>
      <w:pPr>
        <w:tabs>
          <w:tab w:val="left" w:pos="1951"/>
        </w:tabs>
        <w:ind w:left="1951" w:hanging="420"/>
      </w:pPr>
      <w:rPr>
        <w:rFonts w:hint="default" w:ascii="Wingdings" w:hAnsi="Wingdings"/>
      </w:rPr>
    </w:lvl>
    <w:lvl w:ilvl="5" w:tentative="0">
      <w:start w:val="1"/>
      <w:numFmt w:val="bullet"/>
      <w:lvlText w:val=""/>
      <w:lvlJc w:val="left"/>
      <w:pPr>
        <w:tabs>
          <w:tab w:val="left" w:pos="2371"/>
        </w:tabs>
        <w:ind w:left="2371" w:hanging="420"/>
      </w:pPr>
      <w:rPr>
        <w:rFonts w:hint="default" w:ascii="Wingdings" w:hAnsi="Wingdings"/>
      </w:rPr>
    </w:lvl>
    <w:lvl w:ilvl="6" w:tentative="0">
      <w:start w:val="1"/>
      <w:numFmt w:val="bullet"/>
      <w:lvlText w:val=""/>
      <w:lvlJc w:val="left"/>
      <w:pPr>
        <w:tabs>
          <w:tab w:val="left" w:pos="2791"/>
        </w:tabs>
        <w:ind w:left="2791" w:hanging="420"/>
      </w:pPr>
      <w:rPr>
        <w:rFonts w:hint="default" w:ascii="Wingdings" w:hAnsi="Wingdings"/>
      </w:rPr>
    </w:lvl>
    <w:lvl w:ilvl="7" w:tentative="0">
      <w:start w:val="1"/>
      <w:numFmt w:val="bullet"/>
      <w:lvlText w:val=""/>
      <w:lvlJc w:val="left"/>
      <w:pPr>
        <w:tabs>
          <w:tab w:val="left" w:pos="3211"/>
        </w:tabs>
        <w:ind w:left="3211" w:hanging="420"/>
      </w:pPr>
      <w:rPr>
        <w:rFonts w:hint="default" w:ascii="Wingdings" w:hAnsi="Wingdings"/>
      </w:rPr>
    </w:lvl>
    <w:lvl w:ilvl="8" w:tentative="0">
      <w:start w:val="1"/>
      <w:numFmt w:val="bullet"/>
      <w:lvlText w:val=""/>
      <w:lvlJc w:val="left"/>
      <w:pPr>
        <w:tabs>
          <w:tab w:val="left" w:pos="3631"/>
        </w:tabs>
        <w:ind w:left="3631" w:hanging="420"/>
      </w:pPr>
      <w:rPr>
        <w:rFonts w:hint="default" w:ascii="Wingdings" w:hAnsi="Wingdings"/>
      </w:rPr>
    </w:lvl>
  </w:abstractNum>
  <w:abstractNum w:abstractNumId="2">
    <w:nsid w:val="55B370AC"/>
    <w:multiLevelType w:val="multilevel"/>
    <w:tmpl w:val="55B370A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907EA"/>
    <w:rsid w:val="00041263"/>
    <w:rsid w:val="00053D7D"/>
    <w:rsid w:val="000907EA"/>
    <w:rsid w:val="000A23EE"/>
    <w:rsid w:val="000A44D5"/>
    <w:rsid w:val="000B13A7"/>
    <w:rsid w:val="000C4612"/>
    <w:rsid w:val="000C6054"/>
    <w:rsid w:val="000E36C4"/>
    <w:rsid w:val="00106026"/>
    <w:rsid w:val="00163C69"/>
    <w:rsid w:val="00174DD1"/>
    <w:rsid w:val="0019252F"/>
    <w:rsid w:val="001C50D8"/>
    <w:rsid w:val="00226605"/>
    <w:rsid w:val="00260DB7"/>
    <w:rsid w:val="00281566"/>
    <w:rsid w:val="002A5D96"/>
    <w:rsid w:val="00326043"/>
    <w:rsid w:val="003A0BC1"/>
    <w:rsid w:val="004B095E"/>
    <w:rsid w:val="00655063"/>
    <w:rsid w:val="00655CF9"/>
    <w:rsid w:val="006B60C1"/>
    <w:rsid w:val="00734F7C"/>
    <w:rsid w:val="007C0ECD"/>
    <w:rsid w:val="008D6086"/>
    <w:rsid w:val="00904698"/>
    <w:rsid w:val="009857CA"/>
    <w:rsid w:val="00994B97"/>
    <w:rsid w:val="009C4EF1"/>
    <w:rsid w:val="009D5785"/>
    <w:rsid w:val="00A01472"/>
    <w:rsid w:val="00AB0C5E"/>
    <w:rsid w:val="00AD144A"/>
    <w:rsid w:val="00AE1C63"/>
    <w:rsid w:val="00AF7E6C"/>
    <w:rsid w:val="00B34ED9"/>
    <w:rsid w:val="00BF4CBD"/>
    <w:rsid w:val="00C043D6"/>
    <w:rsid w:val="00C9713A"/>
    <w:rsid w:val="00CD0413"/>
    <w:rsid w:val="00D018B5"/>
    <w:rsid w:val="00D16AE6"/>
    <w:rsid w:val="00D26573"/>
    <w:rsid w:val="00D41C01"/>
    <w:rsid w:val="00D76BAE"/>
    <w:rsid w:val="00D86FFD"/>
    <w:rsid w:val="00DA04C3"/>
    <w:rsid w:val="00DC5DE0"/>
    <w:rsid w:val="00DD1A63"/>
    <w:rsid w:val="00DF2E5A"/>
    <w:rsid w:val="00E65002"/>
    <w:rsid w:val="00EA35B3"/>
    <w:rsid w:val="00EF16EF"/>
    <w:rsid w:val="00F03C7D"/>
    <w:rsid w:val="00F675A1"/>
    <w:rsid w:val="00F954EE"/>
    <w:rsid w:val="505E07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9"/>
    <w:semiHidden/>
    <w:unhideWhenUsed/>
    <w:uiPriority w:val="99"/>
    <w:pPr>
      <w:spacing w:after="120"/>
      <w:ind w:left="420" w:leftChars="200"/>
    </w:pPr>
  </w:style>
  <w:style w:type="paragraph" w:styleId="3">
    <w:name w:val="Plain Text"/>
    <w:basedOn w:val="1"/>
    <w:link w:val="12"/>
    <w:qFormat/>
    <w:uiPriority w:val="0"/>
    <w:rPr>
      <w:rFonts w:ascii="宋体" w:hAnsi="Courier New"/>
      <w:kern w:val="0"/>
      <w:sz w:val="20"/>
      <w:szCs w:val="21"/>
    </w:rPr>
  </w:style>
  <w:style w:type="paragraph" w:styleId="4">
    <w:name w:val="Balloon Text"/>
    <w:basedOn w:val="1"/>
    <w:link w:val="18"/>
    <w:semiHidden/>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sz w:val="18"/>
      <w:szCs w:val="18"/>
    </w:rPr>
  </w:style>
  <w:style w:type="character" w:customStyle="1" w:styleId="11">
    <w:name w:val="页脚 Char"/>
    <w:basedOn w:val="8"/>
    <w:link w:val="5"/>
    <w:qFormat/>
    <w:uiPriority w:val="99"/>
    <w:rPr>
      <w:sz w:val="18"/>
      <w:szCs w:val="18"/>
    </w:rPr>
  </w:style>
  <w:style w:type="character" w:customStyle="1" w:styleId="12">
    <w:name w:val="纯文本 Char"/>
    <w:basedOn w:val="8"/>
    <w:link w:val="3"/>
    <w:qFormat/>
    <w:uiPriority w:val="0"/>
    <w:rPr>
      <w:rFonts w:ascii="宋体" w:hAnsi="Courier New" w:eastAsia="宋体" w:cs="Times New Roman"/>
      <w:kern w:val="0"/>
      <w:sz w:val="20"/>
      <w:szCs w:val="21"/>
    </w:rPr>
  </w:style>
  <w:style w:type="paragraph" w:customStyle="1" w:styleId="13">
    <w:name w:val="4级正文"/>
    <w:basedOn w:val="1"/>
    <w:qFormat/>
    <w:uiPriority w:val="0"/>
    <w:pPr>
      <w:adjustRightInd w:val="0"/>
      <w:snapToGrid w:val="0"/>
      <w:spacing w:line="360" w:lineRule="auto"/>
      <w:ind w:firstLine="200" w:firstLineChars="200"/>
      <w:jc w:val="left"/>
    </w:pPr>
    <w:rPr>
      <w:rFonts w:ascii="黑体" w:eastAsiaTheme="minorEastAsia"/>
      <w:spacing w:val="-4"/>
      <w:sz w:val="24"/>
      <w:szCs w:val="32"/>
    </w:rPr>
  </w:style>
  <w:style w:type="character" w:customStyle="1" w:styleId="14">
    <w:name w:val="2级标题 Char"/>
    <w:link w:val="15"/>
    <w:qFormat/>
    <w:uiPriority w:val="0"/>
    <w:rPr>
      <w:b/>
      <w:sz w:val="24"/>
      <w:szCs w:val="24"/>
    </w:rPr>
  </w:style>
  <w:style w:type="paragraph" w:customStyle="1" w:styleId="15">
    <w:name w:val="2级标题"/>
    <w:basedOn w:val="1"/>
    <w:link w:val="14"/>
    <w:qFormat/>
    <w:uiPriority w:val="0"/>
    <w:pPr>
      <w:tabs>
        <w:tab w:val="left" w:pos="1600"/>
      </w:tabs>
      <w:adjustRightInd w:val="0"/>
      <w:snapToGrid w:val="0"/>
      <w:spacing w:line="360" w:lineRule="auto"/>
      <w:ind w:firstLine="200" w:firstLineChars="200"/>
      <w:jc w:val="left"/>
      <w:outlineLvl w:val="1"/>
    </w:pPr>
    <w:rPr>
      <w:rFonts w:asciiTheme="minorHAnsi" w:hAnsiTheme="minorHAnsi" w:eastAsiaTheme="minorEastAsia" w:cstheme="minorBidi"/>
      <w:b/>
      <w:sz w:val="24"/>
      <w:szCs w:val="24"/>
    </w:rPr>
  </w:style>
  <w:style w:type="paragraph" w:customStyle="1" w:styleId="16">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7">
    <w:name w:val="Normal_0_4"/>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8">
    <w:name w:val="批注框文本 Char"/>
    <w:basedOn w:val="8"/>
    <w:link w:val="4"/>
    <w:semiHidden/>
    <w:qFormat/>
    <w:uiPriority w:val="99"/>
    <w:rPr>
      <w:rFonts w:ascii="Calibri" w:hAnsi="Calibri" w:eastAsia="宋体" w:cs="Times New Roman"/>
      <w:sz w:val="18"/>
      <w:szCs w:val="18"/>
    </w:rPr>
  </w:style>
  <w:style w:type="character" w:customStyle="1" w:styleId="19">
    <w:name w:val="正文文本缩进 Char"/>
    <w:basedOn w:val="8"/>
    <w:link w:val="2"/>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1361</Words>
  <Characters>7758</Characters>
  <Lines>64</Lines>
  <Paragraphs>18</Paragraphs>
  <TotalTime>0</TotalTime>
  <ScaleCrop>false</ScaleCrop>
  <LinksUpToDate>false</LinksUpToDate>
  <CharactersWithSpaces>9101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2021-11-01T14:53:00Z</dcterms:created>
  <dc:creator>胡盛云</dc:creator>
  <cp:lastModifiedBy>jdbwb</cp:lastModifiedBy>
  <dcterms:modified xsi:type="dcterms:W3CDTF">2021-12-22T03:05:58Z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36EEFC8125104E678600AD1D041A38F3</vt:lpwstr>
  </property>
</Properties>
</file>